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3.0 -->
  <w:body>
    <w:p w:rsidRPr="000035DD" w:rsidR="000035DD" w14:paraId="2BD768C2" w14:textId="77777777">
      <w:pPr>
        <w:bidi w:val="0"/>
        <w:rPr>
          <w:b/>
          <w:bCs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Adolygiad Fformiwla ADY Uwchradd 25/26</w:t>
      </w:r>
    </w:p>
    <w:p w:rsidRPr="000035DD" w:rsidR="000035DD" w14:paraId="4FE06A24" w14:textId="7964CCEC">
      <w:pPr>
        <w:bidi w:val="0"/>
        <w:rPr>
          <w:b/>
          <w:bCs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Cefndir</w:t>
      </w:r>
    </w:p>
    <w:p w:rsidR="000035DD" w14:paraId="572E2894" w14:textId="58BB9ECB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Dros y degawd diwethaf, mae sawl adolygiad wedi anelu at sefydlu dull teg ar gyfer dosbarthu cyllid i ysgolion uwchradd (a 3–19) ar gyfer disgyblion ag ADY.</w:t>
      </w:r>
    </w:p>
    <w:p w:rsidR="00FF26F4" w14:paraId="4BC1DDB6" w14:textId="3B891C9D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Cyn 2016/17, roedd cyllid ar gyfer disgyblion ADY llai cymhleth yn seiliedig ar nifer y disgyblion yn Gweithredu gan yr Ysgol a'r rhai a sgoriodd o dan 79 mewn profion SCYA.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Cafodd cyllid ar gyfer achosion cymhleth ei gadw'n ganolog a'i ddyrannu gan banel ADY.</w:t>
      </w:r>
    </w:p>
    <w:p w:rsidR="00CE68F2" w14:paraId="296F765B" w14:textId="2F7E470D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Yn dilyn adolygiad fformiwla 2016, symudodd cyllid ar gyfer achosion llai cymhleth i ddibynnu ar niferoedd Gweithredu gan yr Ysgol yn unig, gan nad oedd data SCYA bellach yn cael ei ystyried yn briodol nac ar gael.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Parhaodd cyllid achosion cymhleth drwy'r panel ADY.</w:t>
      </w:r>
    </w:p>
    <w:p w:rsidR="00AE0F4B" w14:paraId="3F745FF0" w14:textId="2DC61B60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Cynhaliwyd adolygiad pellach yn 2021/22, lle penderfynwyd bod y dull o ddefnyddio panel i ddosbarthu cyllid ar gyfer achosion mwy cymhleth yn gadael anawsterau cynllunio cyllideb i ysgolion.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Penderfynodd Penaethiaid Uwchradd y byddai'n fwy buddiol gwybod ar ddechrau pob blwyddyn ariannol cyfanswm y cyllid sydd ar gael, yn hytrach nag aros am ganlyniadau cyfarfodydd panel.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Cytunodd Penaethiaid Uwchradd i gyfuno'r ddwy gyllideb mewn un gyllideb ADY, a fyddai'n cael ei ddyrannu yn ôl nifer y disgyblion sydd â CDUau, datganiadau, neu a nodwyd fel Gweithredu gan yr Ysgol.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Y nod oedd seilio cyllid yn y pen draw ar CDUau yn unig, gan ganiatáu cyfnod pontio yn ystod gweithredu'r Ddeddf ADY.</w:t>
      </w:r>
    </w:p>
    <w:p w:rsidRPr="006101F1" w:rsidR="00FF26F4" w14:paraId="59FA3338" w14:textId="07952894">
      <w:pPr>
        <w:bidi w:val="0"/>
        <w:rPr>
          <w:b/>
          <w:bCs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2025/26 Dull dyrannu</w:t>
      </w:r>
    </w:p>
    <w:p w:rsidR="00CE68F2" w14:paraId="39D93757" w14:textId="0F3EF816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Ar gyfer fformiwla ariannu 2025/26 felly, dyrannwyd cyllid o £2.673M yn seiliedig ar nifer y CDUau mewn addysg uwchradd brif ffrwd, a arweiniodd at ddyraniad o £4,389.80 fesul CDUau prif ffrwd.</w:t>
      </w:r>
    </w:p>
    <w:tbl>
      <w:tblPr>
        <w:tblW w:w="8540" w:type="dxa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40"/>
        <w:gridCol w:w="1203"/>
        <w:gridCol w:w="1203"/>
        <w:gridCol w:w="1203"/>
        <w:gridCol w:w="1216"/>
        <w:gridCol w:w="1302"/>
        <w:gridCol w:w="1226"/>
      </w:tblGrid>
      <w:tr w:rsidTr="006101F1" w14:paraId="4274D454" w14:textId="77777777">
        <w:tblPrEx>
          <w:tblW w:w="8540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101F1" w:rsidR="006101F1" w:rsidP="006101F1" w14:paraId="6F5070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GB" w:bidi="ar-SA"/>
              </w:rPr>
            </w:pP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D9D9D9"/>
            <w:noWrap/>
            <w:vAlign w:val="bottom"/>
            <w:hideMark/>
          </w:tcPr>
          <w:p w:rsidRPr="006101F1" w:rsidR="006101F1" w:rsidP="006101F1" w14:paraId="7BE60E9C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DYRANIAD CYLLID ADY 2025/26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bottom"/>
            <w:hideMark/>
          </w:tcPr>
          <w:p w:rsidRPr="006101F1" w:rsidR="006101F1" w:rsidP="006101F1" w14:paraId="43CB69B0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6101F1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D9D9D9"/>
            <w:noWrap/>
            <w:vAlign w:val="bottom"/>
            <w:hideMark/>
          </w:tcPr>
          <w:p w:rsidRPr="006101F1" w:rsidR="006101F1" w:rsidP="006101F1" w14:paraId="6DA257E1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6101F1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6101F1" w:rsidR="006101F1" w:rsidP="006101F1" w14:paraId="081255DE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£2,673,389</w:t>
            </w:r>
          </w:p>
        </w:tc>
      </w:tr>
      <w:tr w:rsidTr="006101F1" w14:paraId="722DB244" w14:textId="77777777">
        <w:tblPrEx>
          <w:tblW w:w="8540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62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101F1" w:rsidR="006101F1" w:rsidP="006101F1" w14:paraId="17027A94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6101F1" w:rsidR="006101F1" w:rsidP="006101F1" w14:paraId="55252DFF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CDUau - Ion 25 SRhLl CDUau ysgol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6101F1" w:rsidR="006101F1" w:rsidP="006101F1" w14:paraId="0E626C40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CDUau - Ion 25 SRhLl CDUau ALl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6101F1" w:rsidR="006101F1" w:rsidP="006101F1" w14:paraId="70DF9A34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CDUau - Ion 25 SRhLl CDUau ALl mewn canolfannau adnoddau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6101F1" w:rsidR="006101F1" w:rsidP="006101F1" w14:paraId="4D2BBD9E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CYFANSWM CDUau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6101F1" w:rsidR="006101F1" w:rsidP="006101F1" w14:paraId="221632A3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CDUau prif ffrwd ac eithrio disgyblion canolfan adnoddau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6101F1" w:rsidR="006101F1" w:rsidP="006101F1" w14:paraId="48A161B2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Cyllid ADY 2025/26</w:t>
            </w:r>
          </w:p>
        </w:tc>
      </w:tr>
      <w:tr w:rsidTr="006101F1" w14:paraId="0D2A1B0E" w14:textId="77777777">
        <w:tblPrEx>
          <w:tblW w:w="8540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Pr="006101F1" w:rsidR="006101F1" w:rsidP="006101F1" w14:paraId="5E1CDB47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Pr="006101F1" w:rsidR="006101F1" w:rsidP="006101F1" w14:paraId="1415274F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Uwchradd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Pr="006101F1" w:rsidR="006101F1" w:rsidP="006101F1" w14:paraId="0A91C67D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Uwchradd</w:t>
            </w:r>
          </w:p>
        </w:tc>
        <w:tc>
          <w:tcPr>
            <w:tcW w:w="1203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Pr="006101F1" w:rsidR="006101F1" w:rsidP="006101F1" w14:paraId="15785326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Uwchradd</w:t>
            </w:r>
          </w:p>
        </w:tc>
        <w:tc>
          <w:tcPr>
            <w:tcW w:w="1216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D9D9D9"/>
            <w:vAlign w:val="bottom"/>
            <w:hideMark/>
          </w:tcPr>
          <w:p w:rsidRPr="006101F1" w:rsidR="006101F1" w:rsidP="006101F1" w14:paraId="441A92F3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Uwchradd</w:t>
            </w:r>
          </w:p>
        </w:tc>
        <w:tc>
          <w:tcPr>
            <w:tcW w:w="12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6101F1" w:rsidR="006101F1" w:rsidP="006101F1" w14:paraId="4A844C51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Uwchradd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9D9D9"/>
            <w:vAlign w:val="bottom"/>
            <w:hideMark/>
          </w:tcPr>
          <w:p w:rsidRPr="006101F1" w:rsidR="006101F1" w:rsidP="006101F1" w14:paraId="5070A9AC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Uwchradd</w:t>
            </w:r>
          </w:p>
        </w:tc>
      </w:tr>
      <w:tr w:rsidTr="006101F1" w14:paraId="2D59C746" w14:textId="77777777">
        <w:tblPrEx>
          <w:tblW w:w="8540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235CAD52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1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3571F65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45 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70040905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3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65DB0577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0 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1E6DA1CA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48 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6EE48A03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48 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508F87CE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£210,710</w:t>
            </w:r>
          </w:p>
        </w:tc>
      </w:tr>
      <w:tr w:rsidTr="006101F1" w14:paraId="3C28E285" w14:textId="77777777">
        <w:tblPrEx>
          <w:tblW w:w="8540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683E8F4F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2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430CC375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45 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5BB33FB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06A00BA7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10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44EBB3AD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55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2158BB8E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45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642009E8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£197,541  </w:t>
            </w:r>
          </w:p>
        </w:tc>
      </w:tr>
      <w:tr w:rsidTr="006101F1" w14:paraId="1F58DDD0" w14:textId="77777777">
        <w:tblPrEx>
          <w:tblW w:w="8540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0786EEF9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5E8A741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53 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0094619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17 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5770790E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32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10E0E575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102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1ECF708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70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171BC4C8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£307,286</w:t>
            </w:r>
          </w:p>
        </w:tc>
      </w:tr>
      <w:tr w:rsidTr="006101F1" w14:paraId="26E4FFF8" w14:textId="77777777">
        <w:tblPrEx>
          <w:tblW w:w="8540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2F422E09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4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18ECCEF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131 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4FCC75FA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6 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71D6E40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5BF6526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145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13C346DB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137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4581FD73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£601,403</w:t>
            </w:r>
          </w:p>
        </w:tc>
      </w:tr>
      <w:tr w:rsidTr="006101F1" w14:paraId="69ED183E" w14:textId="77777777">
        <w:tblPrEx>
          <w:tblW w:w="8540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3A3C82BE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5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3E708EF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97 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7F294855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6DC8E45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0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4EEC69AB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98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5E9EA86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98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07AF44BF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£430,201</w:t>
            </w:r>
          </w:p>
        </w:tc>
      </w:tr>
      <w:tr w:rsidTr="006101F1" w14:paraId="2078A24B" w14:textId="77777777">
        <w:tblPrEx>
          <w:tblW w:w="8540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47C7FFF4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6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5EB31007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77 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167AB4F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7C7D01BA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12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62B83DE5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98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512B67D0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86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093A667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£377,523</w:t>
            </w:r>
          </w:p>
        </w:tc>
      </w:tr>
      <w:tr w:rsidTr="006101F1" w14:paraId="5F21D27A" w14:textId="77777777">
        <w:tblPrEx>
          <w:tblW w:w="8540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4EF6D549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7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6E613AA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43 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23139FB7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42E2E5F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0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159C9D8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46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34532BDD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46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75C69A7E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£201,931</w:t>
            </w:r>
          </w:p>
        </w:tc>
      </w:tr>
      <w:tr w:rsidTr="006101F1" w14:paraId="2F8494FD" w14:textId="77777777">
        <w:tblPrEx>
          <w:tblW w:w="8540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2F947228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8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6CEC2838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79 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3ACFD552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523770B2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33EB4890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84 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644B855E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79 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6101F1" w:rsidR="006101F1" w:rsidP="006101F1" w14:paraId="404844CF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£346,794</w:t>
            </w:r>
          </w:p>
        </w:tc>
      </w:tr>
      <w:tr w:rsidTr="006101F1" w14:paraId="7A650474" w14:textId="77777777">
        <w:tblPrEx>
          <w:tblW w:w="8540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6101F1" w:rsidR="006101F1" w:rsidP="006101F1" w14:paraId="0C5474F2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CYFANSWM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6101F1" w:rsidR="006101F1" w:rsidP="006101F1" w14:paraId="1F1722E3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570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6101F1" w:rsidR="006101F1" w:rsidP="006101F1" w14:paraId="55A2101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39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6101F1" w:rsidR="006101F1" w:rsidP="006101F1" w14:paraId="454F3F75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67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6101F1" w:rsidR="006101F1" w:rsidP="006101F1" w14:paraId="0C4238D5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676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6101F1" w:rsidR="006101F1" w:rsidP="006101F1" w14:paraId="638B083C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609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6101F1" w:rsidR="006101F1" w:rsidP="006101F1" w14:paraId="67C7E33A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£2,673,389</w:t>
            </w:r>
          </w:p>
        </w:tc>
      </w:tr>
    </w:tbl>
    <w:p w:rsidR="006101F1" w14:paraId="62FEF6A1" w14:textId="77777777"/>
    <w:p w:rsidR="006101F1" w14:paraId="03FB2C77" w14:textId="60B83C18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Sylwer - er mwyn cyrraedd nifer y CDUau mewn addysg brif ffrwd, mae nifer y disgyblion sydd â CDUau mewn seiliau adnoddau ALl yn cael ei ddidynnu o gyfanswm nifer y CDUau, gan fod y costau staffio ar gyfer disgyblion mewn canolfannau adnoddau yn cael eu hariannu ar wahân gan fformiwla wahanol.</w:t>
      </w:r>
    </w:p>
    <w:p w:rsidR="006101F1" w14:paraId="6212DA6E" w14:textId="58C6B26B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Dim ond y diffygion canlynol sydd gan ddosraniad £2.673M drwy nifer y CDUau.</w:t>
      </w:r>
    </w:p>
    <w:p w:rsidR="006101F1" w:rsidP="006101F1" w14:paraId="01603124" w14:textId="7C8E95B7">
      <w:pPr>
        <w:pStyle w:val="ListParagraph"/>
        <w:numPr>
          <w:ilvl w:val="0"/>
          <w:numId w:val="1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Nid yw'r dull dosbarthu hwn yn ystyried nad oes angen CDU ar ddisgyblion ag anghenion ADY lefel is, a allai fod angen lefel o gymorth o hyd.</w:t>
      </w:r>
    </w:p>
    <w:p w:rsidR="006101F1" w:rsidP="006101F1" w14:paraId="2721CFC8" w14:textId="0512800D">
      <w:pPr>
        <w:pStyle w:val="ListParagraph"/>
        <w:numPr>
          <w:ilvl w:val="0"/>
          <w:numId w:val="1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defnyddio un set o ddata yn ddull uniongyrchol i ddosbarthu swm mor fawr o gyllid.</w:t>
      </w:r>
    </w:p>
    <w:p w:rsidR="005F0EF5" w:rsidP="006101F1" w14:paraId="52EC4E9A" w14:textId="3D75E4F9">
      <w:pPr>
        <w:pStyle w:val="ListParagraph"/>
        <w:numPr>
          <w:ilvl w:val="0"/>
          <w:numId w:val="1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Mae tegwch y dosbarthiad hwn yn dibynnu'n helaeth ar ddulliau cyson i benderfynu disgyblion sy'n gymwys ar gyfer CDUau ar draws pob ysgol uwchradd a 3-19.</w:t>
      </w:r>
    </w:p>
    <w:p w:rsidR="005F0EF5" w:rsidP="005F0EF5" w14:paraId="249C2367" w14:textId="10ED1E2E">
      <w:pPr>
        <w:pStyle w:val="ListParagraph"/>
        <w:numPr>
          <w:ilvl w:val="0"/>
          <w:numId w:val="1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Nid yw'r dull dosbarthu hwn yn unol â'r fformiwla a fabwysiadwyd yn ddiweddar gan ysgolion cynradd.</w:t>
      </w:r>
    </w:p>
    <w:p w:rsidR="0053183C" w:rsidP="005F0EF5" w14:paraId="3B07F102" w14:textId="6C65F878">
      <w:pPr>
        <w:bidi w:val="0"/>
        <w:rPr>
          <w:b/>
          <w:bCs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Cyfarfod Adolygu Cyntaf ADY 26 Tachwedd 2025</w:t>
      </w:r>
    </w:p>
    <w:p w:rsidRPr="005F0EF5" w:rsidR="005F0EF5" w:rsidP="005F0EF5" w14:paraId="1513B9CF" w14:textId="5BA3EEAB">
      <w:pPr>
        <w:bidi w:val="0"/>
        <w:rPr>
          <w:b/>
          <w:bCs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Cynigion ar gyfer 2026/27</w:t>
      </w:r>
    </w:p>
    <w:p w:rsidR="005F0EF5" w:rsidP="005F0EF5" w14:paraId="7FCF7D91" w14:textId="4929CCB5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Cynigiwyd y tri dull canlynol fel dull amgen i ddosbarthu cyllid ADY uwchradd trwy fformiwla cyllido ysgolion.</w:t>
      </w:r>
    </w:p>
    <w:p w:rsidRPr="005F0EF5" w:rsidR="005F0EF5" w:rsidP="005F0EF5" w14:paraId="560BA19B" w14:textId="63288C45">
      <w:pPr>
        <w:bidi w:val="0"/>
        <w:rPr>
          <w:b/>
          <w:bCs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Dull 1 – Dyrannu £2.673M mewn tair ffordd:</w:t>
      </w:r>
    </w:p>
    <w:p w:rsidR="005F0EF5" w:rsidP="005F0EF5" w14:paraId="79A3A0F0" w14:textId="7E844D7B">
      <w:pPr>
        <w:pStyle w:val="ListParagraph"/>
        <w:numPr>
          <w:ilvl w:val="0"/>
          <w:numId w:val="2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Traean – nifer y disgyblion sydd â CDUau.</w:t>
      </w:r>
    </w:p>
    <w:p w:rsidR="005F0EF5" w:rsidP="005F0EF5" w14:paraId="7BF0B4BC" w14:textId="5030E314">
      <w:pPr>
        <w:pStyle w:val="ListParagraph"/>
        <w:numPr>
          <w:ilvl w:val="0"/>
          <w:numId w:val="2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Traean – nifer y disgyblion a nodwyd fel rhai sy'n gymwys i gael prydau ysgol am ddim.</w:t>
      </w:r>
    </w:p>
    <w:p w:rsidR="005F0EF5" w:rsidP="005F0EF5" w14:paraId="3E56D794" w14:textId="349D5202">
      <w:pPr>
        <w:pStyle w:val="ListParagraph"/>
        <w:numPr>
          <w:ilvl w:val="0"/>
          <w:numId w:val="2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Traean – Poblogaeth nifer y disgyblion.</w:t>
      </w:r>
    </w:p>
    <w:p w:rsidRPr="005F0EF5" w:rsidR="006101F1" w14:paraId="2449790A" w14:textId="0F1AF0BE">
      <w:pPr>
        <w:bidi w:val="0"/>
        <w:rPr>
          <w:b/>
          <w:bCs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Dull 2 – Dyrannu £2.673M mewn tair ffordd: (dull a ddefnyddir yn y sector cynradd)</w:t>
      </w:r>
    </w:p>
    <w:p w:rsidR="005F0EF5" w:rsidP="005F0EF5" w14:paraId="142C8D5F" w14:textId="042CCCE8">
      <w:pPr>
        <w:pStyle w:val="ListParagraph"/>
        <w:numPr>
          <w:ilvl w:val="0"/>
          <w:numId w:val="2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Traean – nifer y disgyblion sydd â CDUau.</w:t>
      </w:r>
    </w:p>
    <w:p w:rsidR="005F0EF5" w:rsidP="005F0EF5" w14:paraId="1F1F46D9" w14:textId="125FE6FA">
      <w:pPr>
        <w:pStyle w:val="ListParagraph"/>
        <w:numPr>
          <w:ilvl w:val="0"/>
          <w:numId w:val="2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Un rhan o dair – niferoedd disgyblion wedi'u pwysoli gan MALlC gan ddefnyddio degolion MALlC.</w:t>
      </w:r>
    </w:p>
    <w:p w:rsidR="005F0EF5" w:rsidP="005F0EF5" w14:paraId="6D77690C" w14:textId="45BD89B7">
      <w:pPr>
        <w:pStyle w:val="ListParagraph"/>
        <w:numPr>
          <w:ilvl w:val="0"/>
          <w:numId w:val="2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Traean – Poblogaeth nifer y disgyblion.</w:t>
      </w:r>
    </w:p>
    <w:p w:rsidR="00B664A2" w:rsidP="00B664A2" w14:paraId="6C2DC485" w14:textId="0B452689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Sylwch fod dyraniad MALlC yn cael ei gyfrifo gan ddefnyddio'r deg degolyn MALlC i bwysoli poblogaeth ysgolion.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Disgyblion yn y decil isaf fel yr uchaf ar gyfer cyllid a'r rhai yn y degolyn uchaf fel yr isaf fel y nodir isod.</w:t>
      </w:r>
    </w:p>
    <w:p w:rsidR="00B664A2" w:rsidP="00B664A2" w14:paraId="3F9EDE72" w14:textId="77777777">
      <w:pPr>
        <w:pStyle w:val="ListParagraph"/>
        <w:numPr>
          <w:ilvl w:val="0"/>
          <w:numId w:val="4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Degol 1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ab/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Lluosi â 10</w:t>
      </w:r>
    </w:p>
    <w:p w:rsidR="00B664A2" w:rsidP="00B664A2" w14:paraId="75535FA6" w14:textId="7F8F46E6">
      <w:pPr>
        <w:pStyle w:val="ListParagraph"/>
        <w:numPr>
          <w:ilvl w:val="0"/>
          <w:numId w:val="4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Degol 2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ab/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Lluosi â 9</w:t>
      </w:r>
    </w:p>
    <w:p w:rsidR="00B664A2" w:rsidP="00B664A2" w14:paraId="2F38557C" w14:textId="2D65632D">
      <w:pPr>
        <w:pStyle w:val="ListParagraph"/>
        <w:numPr>
          <w:ilvl w:val="0"/>
          <w:numId w:val="4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Degol 3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ab/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Lluosi â 8</w:t>
      </w:r>
    </w:p>
    <w:p w:rsidR="00B664A2" w:rsidP="00B664A2" w14:paraId="33408F75" w14:textId="3F27751E">
      <w:pPr>
        <w:pStyle w:val="ListParagraph"/>
        <w:numPr>
          <w:ilvl w:val="0"/>
          <w:numId w:val="4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Degol 4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ab/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Lluosi â 7</w:t>
      </w:r>
    </w:p>
    <w:p w:rsidR="00B664A2" w:rsidP="00B664A2" w14:paraId="16DAA0DA" w14:textId="76E40A71">
      <w:pPr>
        <w:pStyle w:val="ListParagraph"/>
        <w:numPr>
          <w:ilvl w:val="0"/>
          <w:numId w:val="4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Degol 5 </w:t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ab/>
      </w: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Lluosi â 6 ac yn y blaen, gan leihau un pob degolyn.</w:t>
      </w:r>
    </w:p>
    <w:p w:rsidRPr="005F0EF5" w:rsidR="005F0EF5" w:rsidP="005F0EF5" w14:paraId="3478A41B" w14:textId="2571857E">
      <w:pPr>
        <w:bidi w:val="0"/>
        <w:rPr>
          <w:b/>
          <w:bCs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Dull 1 – Dyrannu £2.673M mewn tair ffordd:</w:t>
      </w:r>
    </w:p>
    <w:p w:rsidR="005F0EF5" w:rsidP="005F0EF5" w14:paraId="133C74C8" w14:textId="77777777">
      <w:pPr>
        <w:pStyle w:val="ListParagraph"/>
        <w:numPr>
          <w:ilvl w:val="0"/>
          <w:numId w:val="2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Traean – nifer y disgyblion sydd â CDUau</w:t>
      </w:r>
    </w:p>
    <w:p w:rsidR="005F0EF5" w:rsidP="005F0EF5" w14:paraId="1158CF63" w14:textId="14DB7A9A">
      <w:pPr>
        <w:pStyle w:val="ListParagraph"/>
        <w:numPr>
          <w:ilvl w:val="0"/>
          <w:numId w:val="2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Traean – disgyblion MALlC yn y 5 degolyn isaf yn unig</w:t>
      </w:r>
    </w:p>
    <w:p w:rsidR="005F0EF5" w:rsidP="005F0EF5" w14:paraId="1718BB52" w14:textId="77777777">
      <w:pPr>
        <w:pStyle w:val="ListParagraph"/>
        <w:numPr>
          <w:ilvl w:val="0"/>
          <w:numId w:val="2"/>
        </w:num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Traean – Poblogaeth nifer y disgyblion</w:t>
      </w:r>
    </w:p>
    <w:p w:rsidR="009D71C3" w:rsidP="009D71C3" w14:paraId="362AB47C" w14:textId="2708C96E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Nodwch fod dull 3 yn ffordd symlach o ddefnyddio data MALlC a byddai'n arwain at fformiwla syml, tryloyw a hawdd ei rhagfynegi na dull 2.</w:t>
      </w:r>
    </w:p>
    <w:p w:rsidRPr="00743930" w:rsidR="009D71C3" w:rsidP="009D71C3" w14:paraId="420EFCEB" w14:textId="71F65D0E">
      <w:pPr>
        <w:bidi w:val="0"/>
        <w:rPr>
          <w:b/>
          <w:bCs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Dangosir crynodeb dienw o'r effaith fesul ysgol o bob opsiwn yn y tabl isod.</w:t>
      </w:r>
    </w:p>
    <w:tbl>
      <w:tblPr>
        <w:tblW w:w="10132" w:type="dxa"/>
        <w:tblInd w:w="-55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300"/>
        <w:gridCol w:w="1226"/>
        <w:gridCol w:w="1226"/>
        <w:gridCol w:w="1180"/>
        <w:gridCol w:w="1480"/>
        <w:gridCol w:w="1180"/>
        <w:gridCol w:w="1360"/>
        <w:gridCol w:w="1180"/>
      </w:tblGrid>
      <w:tr w:rsidTr="009D71C3" w14:paraId="13565521" w14:textId="77777777">
        <w:tblPrEx>
          <w:tblW w:w="10132" w:type="dxa"/>
          <w:tblInd w:w="-557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5DFBBD3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 w:rsidRPr="009D71C3"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1D97E4D2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Cyfredol   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673208FB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Opsiwn 1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058F63F9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9D71C3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68FAF250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Opsiwn 2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7E2EE35D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9D71C3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67D57419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Opsiwn 3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02D3D31B" w14:textId="77777777">
            <w:pPr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 w:rsidRPr="009D71C3"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</w:tr>
      <w:tr w:rsidTr="009D71C3" w14:paraId="2CCBC406" w14:textId="77777777">
        <w:tblPrEx>
          <w:tblW w:w="10132" w:type="dxa"/>
          <w:tblInd w:w="-557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580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720C8DCE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 w:rsidRPr="009D71C3"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9D71C3" w:rsidR="009D71C3" w:rsidP="009D71C3" w14:paraId="66A91F3B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Nifer y CDUau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9D71C3" w:rsidR="009D71C3" w:rsidP="009D71C3" w14:paraId="011FFCF8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Traean o CDUau, traean o niferoedd disgyblion ac un rhan o dair o PYADd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9D71C3" w:rsidR="009D71C3" w:rsidP="009D71C3" w14:paraId="4338641A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Opsiwn 1 amrywiad i'r cyfredol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9D71C3" w:rsidR="009D71C3" w:rsidP="009D71C3" w14:paraId="65650127" w14:textId="6A3C3399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Un rhan o dair nifer y CDUau, traean o niferoedd disgyblion ac un rhan o dair o ddegolion MALlC yn berthnasol i'r boblogaeth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9D71C3" w:rsidR="009D71C3" w:rsidP="009D71C3" w14:paraId="6EEA13F3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Opsiwn 2 amrywiad i'r cyfredol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9D71C3" w:rsidR="009D71C3" w:rsidP="009D71C3" w14:paraId="250C48DD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Un rhan o dair nifer y CDUau, traean o niferoedd disgyblion ac un rhan o dair o’r 5 degolyn MALlC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9D71C3" w:rsidR="009D71C3" w:rsidP="009D71C3" w14:paraId="63541C3A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Opsiwn 3 amrywiad i'r cyfredol</w:t>
            </w:r>
          </w:p>
        </w:tc>
      </w:tr>
      <w:tr w:rsidTr="009D71C3" w14:paraId="7134C3CA" w14:textId="77777777">
        <w:tblPrEx>
          <w:tblW w:w="10132" w:type="dxa"/>
          <w:tblInd w:w="-557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202BE3B0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4ECA91AE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£210,710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4C43A9A2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£246,943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5ACF9B7E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£36,233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698D235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£262,276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66919007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£51,566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794F4B0F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£213,749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71FF7B9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£3,038</w:t>
            </w:r>
          </w:p>
        </w:tc>
      </w:tr>
      <w:tr w:rsidTr="009D71C3" w14:paraId="1BB9ACC1" w14:textId="77777777">
        <w:tblPrEx>
          <w:tblW w:w="10132" w:type="dxa"/>
          <w:tblInd w:w="-557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1048134C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38190847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£197,541 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335F521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£247,930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6ADC8B4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£50,389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29D7FD9C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£289,859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5E2902D7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£92,318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665EE2A5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£324,466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6129CD6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£126,925</w:t>
            </w:r>
          </w:p>
        </w:tc>
      </w:tr>
      <w:tr w:rsidTr="009D71C3" w14:paraId="009950B7" w14:textId="77777777">
        <w:tblPrEx>
          <w:tblW w:w="10132" w:type="dxa"/>
          <w:tblInd w:w="-557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3D2534C4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3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57661613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£307,286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0269ACB3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£303,998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2B1301AE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-£3,288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133441F7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£319,282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56D34B5D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£11,996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02FF163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£347,288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0F02FC6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£40,002</w:t>
            </w:r>
          </w:p>
        </w:tc>
      </w:tr>
      <w:tr w:rsidTr="009D71C3" w14:paraId="33813AF6" w14:textId="77777777">
        <w:tblPrEx>
          <w:tblW w:w="10132" w:type="dxa"/>
          <w:tblInd w:w="-557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14BA326F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4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462D7769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£601,403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594AC72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£574,151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24C6263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-£27,252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60B3DA2D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£494,389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6EC5C8E9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-£107,014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34B9874F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£520,924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4C88B47F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-£80,479</w:t>
            </w:r>
          </w:p>
        </w:tc>
      </w:tr>
      <w:tr w:rsidTr="009D71C3" w14:paraId="64614926" w14:textId="77777777">
        <w:tblPrEx>
          <w:tblW w:w="10132" w:type="dxa"/>
          <w:tblInd w:w="-557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7FBFCC80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7C15423B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£430,201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569ADBD3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£342,531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0DF01A60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-£87,669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4F309DDB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£297,412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1724B14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-£132,788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75B0C428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£285,901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19621F8E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-£144,300</w:t>
            </w:r>
          </w:p>
        </w:tc>
      </w:tr>
      <w:tr w:rsidTr="009D71C3" w14:paraId="42D79520" w14:textId="77777777">
        <w:tblPrEx>
          <w:tblW w:w="10132" w:type="dxa"/>
          <w:tblInd w:w="-557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03402A59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6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4FA54F4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£377,523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13DE4FED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£349,851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52AD0360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-£27,671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5267504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£346,935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607F2B1A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-£30,588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09A55B97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£339,717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27B76CD9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-£37,806</w:t>
            </w:r>
          </w:p>
        </w:tc>
      </w:tr>
      <w:tr w:rsidTr="009D71C3" w14:paraId="585C495F" w14:textId="77777777">
        <w:tblPrEx>
          <w:tblW w:w="10132" w:type="dxa"/>
          <w:tblInd w:w="-557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6380D3B9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7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60475E03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£201,931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2CEE71F5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£258,040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529687D0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£56,110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73E51F29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£281,427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37E9579D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£79,496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0DD2F549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£287,885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71189D6D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£85,955</w:t>
            </w:r>
          </w:p>
        </w:tc>
      </w:tr>
      <w:tr w:rsidTr="009D71C3" w14:paraId="6D7E8DD6" w14:textId="77777777">
        <w:tblPrEx>
          <w:tblW w:w="10132" w:type="dxa"/>
          <w:tblInd w:w="-557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67779534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8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71A3E7F8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£346,794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38070D8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£349,944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019DE3CF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£3,149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21393CCA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£381,809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2BDDDAE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£35,015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79232312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£353,459 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D71C3" w:rsidR="009D71C3" w:rsidP="009D71C3" w14:paraId="5405619C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£6,665</w:t>
            </w:r>
          </w:p>
        </w:tc>
      </w:tr>
      <w:tr w:rsidTr="009D71C3" w14:paraId="69917D63" w14:textId="77777777">
        <w:tblPrEx>
          <w:tblW w:w="10132" w:type="dxa"/>
          <w:tblInd w:w="-557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2B1447B9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CYFANSWM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44105D2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£2,673,389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42D24595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£2,673,389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17C4499C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6048AF6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£2,673,389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5F7DD21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78F0B33C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£2,673,389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9D71C3" w:rsidR="009D71C3" w:rsidP="009D71C3" w14:paraId="4518F590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£0</w:t>
            </w:r>
          </w:p>
        </w:tc>
      </w:tr>
    </w:tbl>
    <w:p w:rsidR="005F0EF5" w:rsidP="005F0EF5" w14:paraId="0B264DC1" w14:textId="77777777"/>
    <w:p w:rsidR="009D71C3" w:rsidP="005F0EF5" w14:paraId="177E4FFC" w14:textId="66101AEC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Sylwch mai'r ysgolion gyda'r amrywiadau negyddol mwyaf yw'r rhai sydd â chanran uwch o CDUau o'i gymharu â niferoedd disgyblion.</w:t>
      </w:r>
    </w:p>
    <w:p w:rsidRPr="00743930" w:rsidR="009D71C3" w:rsidP="005F0EF5" w14:paraId="5A793C04" w14:textId="12E5BEDB">
      <w:pPr>
        <w:bidi w:val="0"/>
        <w:rPr>
          <w:b/>
          <w:bCs/>
          <w:u w:val="single"/>
        </w:rPr>
      </w:pPr>
      <w:r>
        <w:rPr>
          <w:rStyle w:val="DefaultParagraphFont"/>
          <w:rFonts w:ascii="Arial" w:hAnsi="Arial" w:eastAsia="Arial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singl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Dangosir nifer y CDUau fel canran o'r boblogaeth yn y tabl isod.</w:t>
      </w:r>
    </w:p>
    <w:tbl>
      <w:tblPr>
        <w:tblW w:w="7120" w:type="dxa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13"/>
        <w:gridCol w:w="1577"/>
        <w:gridCol w:w="2065"/>
        <w:gridCol w:w="2065"/>
      </w:tblGrid>
      <w:tr w:rsidTr="00D0015B" w14:paraId="59C35C90" w14:textId="77777777">
        <w:tblPrEx>
          <w:tblW w:w="7120" w:type="dxa"/>
          <w:tblInd w:w="113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7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9D9D9"/>
            <w:vAlign w:val="bottom"/>
            <w:hideMark/>
          </w:tcPr>
          <w:p w:rsidRPr="00D0015B" w:rsidR="00D0015B" w:rsidP="00D0015B" w14:paraId="37B9461B" w14:textId="38E6C2D9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CDUau (ac eithrio canolfan adnoddau) fel % o'r boblogaeth</w:t>
            </w:r>
          </w:p>
        </w:tc>
      </w:tr>
      <w:tr w:rsidTr="00D0015B" w14:paraId="10FE4780" w14:textId="77777777">
        <w:tblPrEx>
          <w:tblW w:w="7120" w:type="dxa"/>
          <w:tblInd w:w="113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1320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D0015B" w:rsidR="00D0015B" w:rsidP="00D0015B" w14:paraId="36C2E996" w14:textId="77777777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 w:rsidRPr="00D0015B"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D0015B" w:rsidR="00D0015B" w:rsidP="00D0015B" w14:paraId="6E880132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CDUau prif ffrwd ac eithrio disgyblion canolfan adnoddau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D0015B" w:rsidR="00D0015B" w:rsidP="00D0015B" w14:paraId="72A2D5F8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Poblogaeth ac eithrio ar ôl 16 oed (CYBLD Ionawr)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D0015B" w:rsidR="00D0015B" w:rsidP="00D0015B" w14:paraId="6BF78034" w14:textId="77777777">
            <w:pPr>
              <w:bidi w:val="0"/>
              <w:spacing w:after="0" w:line="240" w:lineRule="auto"/>
              <w:jc w:val="center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% CDUau</w:t>
            </w:r>
          </w:p>
        </w:tc>
      </w:tr>
      <w:tr w:rsidTr="00D0015B" w14:paraId="6DB16615" w14:textId="77777777">
        <w:tblPrEx>
          <w:tblW w:w="7120" w:type="dxa"/>
          <w:tblInd w:w="113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0609AFAD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1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3CA53FD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48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2A8ED33A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1193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444A33C8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4.02% </w:t>
            </w:r>
          </w:p>
        </w:tc>
      </w:tr>
      <w:tr w:rsidTr="00D0015B" w14:paraId="454B9C44" w14:textId="77777777">
        <w:tblPrEx>
          <w:tblW w:w="7120" w:type="dxa"/>
          <w:tblInd w:w="113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49A61915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2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041D1260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45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6A5694E2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1017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169AA228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4.42% </w:t>
            </w:r>
          </w:p>
        </w:tc>
      </w:tr>
      <w:tr w:rsidTr="00D0015B" w14:paraId="0AE64D96" w14:textId="77777777">
        <w:tblPrEx>
          <w:tblW w:w="7120" w:type="dxa"/>
          <w:tblInd w:w="113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00B6BE57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3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7DB0B6B7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70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7F5E83A3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933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67ED050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7.50% </w:t>
            </w:r>
          </w:p>
        </w:tc>
      </w:tr>
      <w:tr w:rsidTr="00D0015B" w14:paraId="1632AAD7" w14:textId="77777777">
        <w:tblPrEx>
          <w:tblW w:w="7120" w:type="dxa"/>
          <w:tblInd w:w="113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403B32E2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4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3A1BD53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137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58CF0235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985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18948EB0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13.91%</w:t>
            </w:r>
          </w:p>
        </w:tc>
      </w:tr>
      <w:tr w:rsidTr="00D0015B" w14:paraId="0E4F9B5D" w14:textId="77777777">
        <w:tblPrEx>
          <w:tblW w:w="7120" w:type="dxa"/>
          <w:tblInd w:w="113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30D0B6B9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5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51FEAF0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98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328D4E8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837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720A403F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11.71%</w:t>
            </w:r>
          </w:p>
        </w:tc>
      </w:tr>
      <w:tr w:rsidTr="00D0015B" w14:paraId="5A9AD7CC" w14:textId="77777777">
        <w:tblPrEx>
          <w:tblW w:w="7120" w:type="dxa"/>
          <w:tblInd w:w="113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1F07F69C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6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0F8C7E8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86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1BDE3824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1043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371C7AAC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FF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8.25%</w:t>
            </w:r>
          </w:p>
        </w:tc>
      </w:tr>
      <w:tr w:rsidTr="00D0015B" w14:paraId="347C872E" w14:textId="77777777">
        <w:tblPrEx>
          <w:tblW w:w="7120" w:type="dxa"/>
          <w:tblInd w:w="113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0155999C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7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4BF2A9BF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46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3766E772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825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01C9C44E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5.58%</w:t>
            </w:r>
          </w:p>
        </w:tc>
      </w:tr>
      <w:tr w:rsidTr="00D0015B" w14:paraId="1F676997" w14:textId="77777777">
        <w:tblPrEx>
          <w:tblW w:w="7120" w:type="dxa"/>
          <w:tblInd w:w="113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285AB4F3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Ysgol 8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3ADC927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 xml:space="preserve">79 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3AEB9DF2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1499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0015B" w:rsidR="00D0015B" w:rsidP="00D0015B" w14:paraId="7C172806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5.27%</w:t>
            </w:r>
          </w:p>
        </w:tc>
      </w:tr>
      <w:tr w:rsidTr="00D0015B" w14:paraId="3AD93B17" w14:textId="77777777">
        <w:tblPrEx>
          <w:tblW w:w="7120" w:type="dxa"/>
          <w:tblInd w:w="113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0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D0015B" w:rsidR="00D0015B" w:rsidP="00D0015B" w14:paraId="5D4A7FA0" w14:textId="77777777">
            <w:pPr>
              <w:bidi w:val="0"/>
              <w:spacing w:after="0" w:line="240" w:lineRule="auto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CYFANSWM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D0015B" w:rsidR="00D0015B" w:rsidP="00D0015B" w14:paraId="0E0EF8B1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609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D0015B" w:rsidR="00D0015B" w:rsidP="00D0015B" w14:paraId="6F67506D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8332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bottom"/>
            <w:hideMark/>
          </w:tcPr>
          <w:p w:rsidRPr="00D0015B" w:rsidR="00D0015B" w:rsidP="00D0015B" w14:paraId="6985534A" w14:textId="77777777">
            <w:pPr>
              <w:bidi w:val="0"/>
              <w:spacing w:after="0" w:line="240" w:lineRule="auto"/>
              <w:jc w:val="right"/>
              <w:rPr>
                <w:rFonts w:ascii="Aptos Narrow" w:hAnsi="Aptos Narrow" w:eastAsia="Times New Roman" w:cs="Times New Roman"/>
                <w:b/>
                <w:bCs/>
                <w:color w:val="000000"/>
                <w:sz w:val="22"/>
                <w:szCs w:val="22"/>
                <w:lang w:val="en-GB" w:eastAsia="en-GB" w:bidi="ar-SA"/>
              </w:rPr>
            </w:pPr>
            <w:r>
              <w:rPr>
                <w:rStyle w:val="DefaultParagraphFont"/>
                <w:rFonts w:ascii="Aptos Narrow" w:hAnsi="Aptos Narrow" w:eastAsia="Aptos Narrow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highlight w:val="none"/>
                <w:u w:val="none" w:color="auto"/>
                <w:bdr w:val="none" w:color="auto" w:sz="0" w:space="0"/>
                <w:shd w:val="clear" w:color="auto" w:fill="auto"/>
                <w:vertAlign w:val="baseline"/>
                <w:rtl w:val="0"/>
                <w:cs w:val="0"/>
                <w:lang w:val="cy-GB" w:eastAsia="en-GB" w:bidi="ar-SA"/>
              </w:rPr>
              <w:t>7.31%</w:t>
            </w:r>
          </w:p>
        </w:tc>
      </w:tr>
    </w:tbl>
    <w:p w:rsidR="009D71C3" w:rsidP="005F0EF5" w14:paraId="634519D0" w14:textId="77777777"/>
    <w:p w:rsidR="0060490F" w:rsidP="005F0EF5" w14:paraId="696B159F" w14:textId="183E671F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Gofynnwyd i bob pennaeth uwchradd ystyried y ddogfen hon, a rhoi adborth i'r Cyfarwyddwr mewn perthynas â'r tri opsiwn yn ogystal ag unrhyw fethodoleg dosbarthu pellach yr hoffent ei modelu.</w:t>
      </w:r>
    </w:p>
    <w:p w:rsidR="00CF6FCE" w:rsidP="005F0EF5" w14:paraId="7892AFB1" w14:textId="5E196AFB">
      <w:pPr>
        <w:bidi w:val="0"/>
      </w:pPr>
      <w:r>
        <w:rPr>
          <w:rStyle w:val="DefaultParagraphFont"/>
          <w:rFonts w:ascii="Arial" w:hAnsi="Arial" w:eastAsia="Arial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2"/>
          <w:szCs w:val="22"/>
          <w:highlight w:val="none"/>
          <w:u w:val="none" w:color="auto"/>
          <w:bdr w:val="none" w:color="auto" w:sz="0" w:space="0"/>
          <w:shd w:val="clear" w:color="auto" w:fill="auto"/>
          <w:vertAlign w:val="baseline"/>
          <w:rtl w:val="0"/>
          <w:cs w:val="0"/>
          <w:lang w:val="cy-GB" w:eastAsia="en-US" w:bidi="ar-SA"/>
        </w:rPr>
        <w:t>Bydd y Cyfarwyddwr yn ystyried yr holl adborth ac yn gwneud penderfyniad ynglŷn â'r fformiwla derfynol mewn ymgynghoriad â Phennaeth ADY a Phennaeth Strategaeth, Dysgu Cymunedol ac Adnoddau.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2E6124"/>
    <w:multiLevelType w:val="hybridMultilevel"/>
    <w:tmpl w:val="BBFC3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5830"/>
    <w:multiLevelType w:val="hybridMultilevel"/>
    <w:tmpl w:val="07268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324EF"/>
    <w:multiLevelType w:val="hybridMultilevel"/>
    <w:tmpl w:val="504CF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D5323B"/>
    <w:multiLevelType w:val="hybridMultilevel"/>
    <w:tmpl w:val="63402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970283">
    <w:abstractNumId w:val="0"/>
  </w:num>
  <w:num w:numId="2" w16cid:durableId="707605189">
    <w:abstractNumId w:val="3"/>
  </w:num>
  <w:num w:numId="3" w16cid:durableId="580139622">
    <w:abstractNumId w:val="1"/>
  </w:num>
  <w:num w:numId="4" w16cid:durableId="819926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  <w:compatSetting w:name="differentiateMultirowTableHeaders" w:uri="http://schemas.microsoft.com/office/word" w:val="1"/>
  </w:compat>
  <w:rsids>
    <w:rsidRoot w:val="000035DD"/>
    <w:rsid w:val="000035DD"/>
    <w:rsid w:val="00014A8F"/>
    <w:rsid w:val="001E672C"/>
    <w:rsid w:val="002A40BB"/>
    <w:rsid w:val="002B20FB"/>
    <w:rsid w:val="003B2AA0"/>
    <w:rsid w:val="0043498D"/>
    <w:rsid w:val="00473426"/>
    <w:rsid w:val="004B0457"/>
    <w:rsid w:val="0053183C"/>
    <w:rsid w:val="005F0EF5"/>
    <w:rsid w:val="0060490F"/>
    <w:rsid w:val="006101F1"/>
    <w:rsid w:val="00646085"/>
    <w:rsid w:val="006E03FF"/>
    <w:rsid w:val="00707F95"/>
    <w:rsid w:val="00743930"/>
    <w:rsid w:val="009470C6"/>
    <w:rsid w:val="009D71C3"/>
    <w:rsid w:val="009E5A65"/>
    <w:rsid w:val="00AC00AD"/>
    <w:rsid w:val="00AE0F4B"/>
    <w:rsid w:val="00B03553"/>
    <w:rsid w:val="00B31B89"/>
    <w:rsid w:val="00B664A2"/>
    <w:rsid w:val="00BA0B7C"/>
    <w:rsid w:val="00C07C22"/>
    <w:rsid w:val="00CE68F2"/>
    <w:rsid w:val="00CE7C64"/>
    <w:rsid w:val="00CF6FCE"/>
    <w:rsid w:val="00D0015B"/>
    <w:rsid w:val="00D363A1"/>
    <w:rsid w:val="00E5484B"/>
    <w:rsid w:val="00F21B86"/>
    <w:rsid w:val="00F3165A"/>
    <w:rsid w:val="00FA3FC9"/>
    <w:rsid w:val="00FC30FC"/>
    <w:rsid w:val="00FF26F4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FF8BF9"/>
  <w15:chartTrackingRefBased/>
  <w15:docId w15:val="{2794B493-9548-4ABA-B41D-E7793135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5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5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5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5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5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5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5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5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5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5D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5D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5D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5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5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5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5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5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5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5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5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5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5D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5D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1076</Words>
  <Characters>5299</Characters>
  <Application>Microsoft Office Word</Application>
  <DocSecurity>0</DocSecurity>
  <Lines>378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Monckton, Nicola</dc:creator>
  <cp:lastModifiedBy>Jade Saif</cp:lastModifiedBy>
  <cp:revision>24</cp:revision>
  <dcterms:created xsi:type="dcterms:W3CDTF">2025-11-26T10:11:00Z</dcterms:created>
  <dcterms:modified xsi:type="dcterms:W3CDTF">2026-06-05T14:31:54Z</dcterms:modified>
  <dc:title>6. Secondary ALN formula review CY</dc:title>
  <cp:keywords>
  </cp:keywords>
  <dc:subject>
  </dc:subject>
</cp:coreProperties>
</file>