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508F0" w:rsidR="00321D4C" w:rsidP="004A296B" w:rsidRDefault="006508F0" w14:paraId="09CAC66D" w14:textId="77777777">
      <w:pPr>
        <w:jc w:val="center"/>
        <w:rPr>
          <w:rFonts w:ascii="Calibri" w:hAnsi="Calibri"/>
          <w:b/>
          <w:sz w:val="32"/>
          <w:szCs w:val="32"/>
          <w:lang w:val="da-DK"/>
        </w:rPr>
      </w:pPr>
      <w:r>
        <w:rPr>
          <w:rFonts w:ascii="Calibri" w:hAnsi="Calibri"/>
          <w:b/>
          <w:noProof/>
          <w:sz w:val="32"/>
          <w:szCs w:val="32"/>
          <w:lang w:val="en-GB" w:eastAsia="en-GB"/>
        </w:rPr>
        <w:drawing>
          <wp:inline distT="0" distB="0" distL="0" distR="0" wp14:anchorId="2B8C9904" wp14:editId="4BD7031F">
            <wp:extent cx="1739501" cy="62815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ydd 20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9501" cy="628153"/>
                    </a:xfrm>
                    <a:prstGeom prst="rect">
                      <a:avLst/>
                    </a:prstGeom>
                  </pic:spPr>
                </pic:pic>
              </a:graphicData>
            </a:graphic>
          </wp:inline>
        </w:drawing>
      </w:r>
      <w:r w:rsidRPr="006508F0">
        <w:rPr>
          <w:rFonts w:ascii="Calibri" w:hAnsi="Calibri"/>
          <w:b/>
          <w:sz w:val="32"/>
          <w:szCs w:val="32"/>
          <w:lang w:val="da-DK"/>
        </w:rPr>
        <w:tab/>
      </w:r>
      <w:r w:rsidRPr="006508F0">
        <w:rPr>
          <w:rFonts w:ascii="Calibri" w:hAnsi="Calibri"/>
          <w:b/>
          <w:sz w:val="32"/>
          <w:szCs w:val="32"/>
          <w:lang w:val="da-DK"/>
        </w:rPr>
        <w:tab/>
        <w:t xml:space="preserve">         </w:t>
      </w:r>
      <w:r w:rsidRPr="006508F0">
        <w:rPr>
          <w:rFonts w:ascii="Calibri" w:hAnsi="Calibri"/>
          <w:b/>
          <w:sz w:val="32"/>
          <w:szCs w:val="32"/>
          <w:lang w:val="da-DK"/>
        </w:rPr>
        <w:tab/>
      </w:r>
      <w:r w:rsidRPr="006508F0">
        <w:rPr>
          <w:rFonts w:ascii="Calibri" w:hAnsi="Calibri"/>
          <w:b/>
          <w:sz w:val="32"/>
          <w:szCs w:val="32"/>
          <w:lang w:val="da-DK"/>
        </w:rPr>
        <w:tab/>
      </w:r>
      <w:r w:rsidRPr="006508F0">
        <w:rPr>
          <w:rFonts w:ascii="Calibri" w:hAnsi="Calibri"/>
          <w:b/>
          <w:sz w:val="32"/>
          <w:szCs w:val="32"/>
          <w:lang w:val="da-DK"/>
        </w:rPr>
        <w:tab/>
      </w:r>
      <w:r>
        <w:rPr>
          <w:rFonts w:ascii="Calibri" w:hAnsi="Calibri"/>
          <w:b/>
          <w:noProof/>
          <w:sz w:val="32"/>
          <w:szCs w:val="32"/>
          <w:lang w:val="en-GB" w:eastAsia="en-GB"/>
        </w:rPr>
        <w:drawing>
          <wp:inline distT="0" distB="0" distL="0" distR="0" wp14:anchorId="129F9FD8" wp14:editId="10C3E44F">
            <wp:extent cx="1387705" cy="1262441"/>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l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9513" cy="1273183"/>
                    </a:xfrm>
                    <a:prstGeom prst="rect">
                      <a:avLst/>
                    </a:prstGeom>
                  </pic:spPr>
                </pic:pic>
              </a:graphicData>
            </a:graphic>
          </wp:inline>
        </w:drawing>
      </w:r>
      <w:r w:rsidRPr="006508F0">
        <w:rPr>
          <w:rFonts w:ascii="Calibri" w:hAnsi="Calibri"/>
          <w:b/>
          <w:sz w:val="32"/>
          <w:szCs w:val="32"/>
          <w:lang w:val="da-DK"/>
        </w:rPr>
        <w:tab/>
      </w:r>
    </w:p>
    <w:p w:rsidRPr="006508F0" w:rsidR="00321D4C" w:rsidP="004A296B" w:rsidRDefault="00321D4C" w14:paraId="432B072F" w14:textId="77777777">
      <w:pPr>
        <w:jc w:val="center"/>
        <w:rPr>
          <w:rFonts w:ascii="Calibri" w:hAnsi="Calibri"/>
          <w:b/>
          <w:sz w:val="32"/>
          <w:szCs w:val="32"/>
          <w:lang w:val="da-DK"/>
        </w:rPr>
      </w:pPr>
    </w:p>
    <w:p w:rsidRPr="006508F0" w:rsidR="004A296B" w:rsidP="0063135E" w:rsidRDefault="006508F0" w14:paraId="64BF69C4" w14:textId="77777777">
      <w:pPr>
        <w:jc w:val="center"/>
        <w:rPr>
          <w:rFonts w:ascii="Calibri" w:hAnsi="Calibri"/>
          <w:b/>
          <w:sz w:val="32"/>
          <w:szCs w:val="32"/>
          <w:lang w:val="da-DK"/>
        </w:rPr>
      </w:pPr>
      <w:r>
        <w:rPr>
          <w:rFonts w:ascii="Calibri" w:hAnsi="Calibri" w:eastAsia="Calibri"/>
          <w:b/>
          <w:bCs/>
          <w:sz w:val="32"/>
          <w:szCs w:val="32"/>
          <w:lang w:val="cy-GB"/>
        </w:rPr>
        <w:t>Polisi Gosodiadau Lleol Hen Iard yr Orsaf, Sain Tathan</w:t>
      </w:r>
    </w:p>
    <w:p w:rsidRPr="006508F0" w:rsidR="004A296B" w:rsidP="004A296B" w:rsidRDefault="004A296B" w14:paraId="1E498049" w14:textId="77777777">
      <w:pPr>
        <w:jc w:val="center"/>
        <w:rPr>
          <w:rFonts w:ascii="Calibri" w:hAnsi="Calibri"/>
          <w:b/>
          <w:sz w:val="32"/>
          <w:szCs w:val="32"/>
          <w:lang w:val="da-DK"/>
        </w:rPr>
      </w:pPr>
    </w:p>
    <w:p w:rsidRPr="006508F0" w:rsidR="004A296B" w:rsidP="004A296B" w:rsidRDefault="006508F0" w14:paraId="04CB4292" w14:textId="77777777">
      <w:pPr>
        <w:jc w:val="both"/>
        <w:rPr>
          <w:rFonts w:ascii="Calibri" w:hAnsi="Calibri"/>
          <w:lang w:val="cy-GB"/>
        </w:rPr>
      </w:pPr>
      <w:r>
        <w:rPr>
          <w:rFonts w:ascii="Calibri" w:hAnsi="Calibri" w:eastAsia="Calibri"/>
          <w:lang w:val="cy-GB"/>
        </w:rPr>
        <w:t xml:space="preserve">Nod Polisi Gosodiadau Lleol Hen Iard yr Orsaf, Sain Tathan yw sicrhau bod tai fforddiadwy newydd yn Hen Iard yr Orsaf yn gynaliadwy ac yn dod yn rhan o’r gymuned leol lle mae preswylwyr yn dymuno aros a dangos ymrwymiad i’r ardal maen nhw'n byw ynddi.  I gyflawni’r nod hon, mae polisi gosodiadau lleol wedi’i gytuno â Chyngor Bro Morgannwg, Cymdeithas Tai Newydd a Chyngor Cymuned Sain Tathan, sy’n cynrychioli preswylwyr Ardal Cyngor Cymuned Sain Tathan.  </w:t>
      </w:r>
    </w:p>
    <w:p w:rsidRPr="006508F0" w:rsidR="004A296B" w:rsidP="004A296B" w:rsidRDefault="004A296B" w14:paraId="04C58A8C" w14:textId="77777777">
      <w:pPr>
        <w:jc w:val="both"/>
        <w:rPr>
          <w:rFonts w:ascii="Calibri" w:hAnsi="Calibri"/>
          <w:lang w:val="cy-GB"/>
        </w:rPr>
      </w:pPr>
    </w:p>
    <w:p w:rsidRPr="006508F0" w:rsidR="004A296B" w:rsidP="004A296B" w:rsidRDefault="006508F0" w14:paraId="2960D67B" w14:textId="77777777">
      <w:pPr>
        <w:jc w:val="both"/>
        <w:rPr>
          <w:rFonts w:ascii="Calibri" w:hAnsi="Calibri"/>
          <w:lang w:val="cy-GB"/>
        </w:rPr>
      </w:pPr>
      <w:r>
        <w:rPr>
          <w:rFonts w:ascii="Calibri" w:hAnsi="Calibri" w:eastAsia="Calibri"/>
          <w:lang w:val="cy-GB"/>
        </w:rPr>
        <w:t xml:space="preserve">Dylai’r holl osodiadau fodloni prif egwyddorion y polisi gosodiadau ar gyfer Ardal Cyngor Cymuned Sain Tathan, sydd fel a ganlyn: </w:t>
      </w:r>
    </w:p>
    <w:p w:rsidRPr="006508F0" w:rsidR="004A296B" w:rsidP="004A296B" w:rsidRDefault="004A296B" w14:paraId="0310FA50" w14:textId="77777777">
      <w:pPr>
        <w:jc w:val="both"/>
        <w:rPr>
          <w:rFonts w:ascii="Calibri" w:hAnsi="Calibri"/>
          <w:lang w:val="cy-GB"/>
        </w:rPr>
      </w:pPr>
    </w:p>
    <w:p w:rsidRPr="006508F0" w:rsidR="00C523EB" w:rsidP="00C523EB" w:rsidRDefault="006508F0" w14:paraId="3D5F896F" w14:textId="77777777">
      <w:pPr>
        <w:jc w:val="both"/>
        <w:rPr>
          <w:rFonts w:ascii="Calibri" w:hAnsi="Calibri"/>
          <w:lang w:val="cy-GB"/>
        </w:rPr>
      </w:pPr>
      <w:r>
        <w:rPr>
          <w:rFonts w:ascii="Calibri" w:hAnsi="Calibri" w:eastAsia="Calibri"/>
          <w:lang w:val="cy-GB"/>
        </w:rPr>
        <w:t xml:space="preserve">Yr ymgeiswyr hynny â chysylltiad lleol ag ardal Cyngor Cymuned Sain Tathan fydd â blaenoriaeth. </w:t>
      </w:r>
    </w:p>
    <w:p w:rsidRPr="00C523EB" w:rsidR="004A296B" w:rsidP="00C523EB" w:rsidRDefault="006508F0" w14:paraId="15282DE9" w14:textId="77777777">
      <w:pPr>
        <w:numPr>
          <w:ilvl w:val="0"/>
          <w:numId w:val="1"/>
        </w:numPr>
        <w:jc w:val="both"/>
        <w:rPr>
          <w:rFonts w:ascii="Calibri" w:hAnsi="Calibri"/>
          <w:lang w:val="en-GB"/>
        </w:rPr>
      </w:pPr>
      <w:r>
        <w:rPr>
          <w:rFonts w:ascii="Calibri" w:hAnsi="Calibri" w:eastAsia="Calibri"/>
          <w:lang w:val="cy-GB"/>
        </w:rPr>
        <w:t>Bydd diffiniad cysylltiad lleol fel a ganlyn:</w:t>
      </w:r>
    </w:p>
    <w:p w:rsidRPr="00120A9E" w:rsidR="004A296B" w:rsidP="004A296B" w:rsidRDefault="004A296B" w14:paraId="4176122B" w14:textId="77777777">
      <w:pPr>
        <w:ind w:left="720"/>
        <w:jc w:val="both"/>
        <w:rPr>
          <w:rFonts w:ascii="Calibri" w:hAnsi="Calibri"/>
          <w:lang w:val="en-GB"/>
        </w:rPr>
      </w:pPr>
    </w:p>
    <w:p w:rsidRPr="00C523EB" w:rsidR="004A296B" w:rsidP="004A296B" w:rsidRDefault="006508F0" w14:paraId="69A3E33F" w14:textId="77777777">
      <w:pPr>
        <w:pStyle w:val="ListParagraph"/>
        <w:numPr>
          <w:ilvl w:val="0"/>
          <w:numId w:val="2"/>
        </w:numPr>
        <w:jc w:val="both"/>
        <w:rPr>
          <w:rFonts w:ascii="Calibri" w:hAnsi="Calibri"/>
          <w:lang w:val="en-GB"/>
        </w:rPr>
      </w:pPr>
      <w:r>
        <w:rPr>
          <w:rFonts w:ascii="Calibri" w:hAnsi="Calibri" w:eastAsia="Calibri"/>
          <w:lang w:val="cy-GB"/>
        </w:rPr>
        <w:t>Wedi bod yn preswylio yn Ardal Cyngor Cymuned Sain Tathan am y 12 mis diwethaf neu 3 o’r 5 mynedd diwethaf.</w:t>
      </w:r>
    </w:p>
    <w:p w:rsidRPr="008C5756" w:rsidR="008C5756" w:rsidP="008C5756" w:rsidRDefault="006508F0" w14:paraId="4F51C9BE" w14:textId="77777777">
      <w:pPr>
        <w:pStyle w:val="ListParagraph"/>
        <w:numPr>
          <w:ilvl w:val="0"/>
          <w:numId w:val="2"/>
        </w:numPr>
        <w:jc w:val="both"/>
        <w:rPr>
          <w:rFonts w:ascii="Calibri" w:hAnsi="Calibri"/>
          <w:lang w:val="en-GB"/>
        </w:rPr>
      </w:pPr>
      <w:r>
        <w:rPr>
          <w:rFonts w:ascii="Calibri" w:hAnsi="Calibri" w:eastAsia="Calibri"/>
          <w:lang w:val="cy-GB"/>
        </w:rPr>
        <w:t>Rhieni neu deulu agos (</w:t>
      </w:r>
      <w:r>
        <w:rPr>
          <w:rFonts w:ascii="Calibri" w:hAnsi="Calibri" w:eastAsia="Calibri"/>
          <w:i/>
          <w:iCs/>
          <w:lang w:val="cy-GB"/>
        </w:rPr>
        <w:t>gweler y nodyn isod</w:t>
      </w:r>
      <w:r>
        <w:rPr>
          <w:rFonts w:ascii="Calibri" w:hAnsi="Calibri" w:eastAsia="Calibri"/>
          <w:lang w:val="cy-GB"/>
        </w:rPr>
        <w:t xml:space="preserve">) yn byw yn Ardal Cyngor Cymuned Sain Tathan. </w:t>
      </w:r>
    </w:p>
    <w:p w:rsidRPr="008C5756" w:rsidR="00C523EB" w:rsidP="00C523EB" w:rsidRDefault="006508F0" w14:paraId="0FB56068" w14:textId="77777777">
      <w:pPr>
        <w:pStyle w:val="ListParagraph"/>
        <w:numPr>
          <w:ilvl w:val="0"/>
          <w:numId w:val="2"/>
        </w:numPr>
        <w:jc w:val="both"/>
        <w:rPr>
          <w:rFonts w:ascii="Calibri" w:hAnsi="Calibri"/>
          <w:lang w:val="en-GB"/>
        </w:rPr>
      </w:pPr>
      <w:r>
        <w:rPr>
          <w:rFonts w:ascii="Calibri" w:hAnsi="Calibri" w:eastAsia="Calibri"/>
          <w:lang w:val="cy-GB"/>
        </w:rPr>
        <w:t xml:space="preserve">Â chyflogaeth barhaol (neu’n symud i gyflogaeth barhaol) yn Ardal Cyngor Cymuned Sain Tathan. </w:t>
      </w:r>
    </w:p>
    <w:p w:rsidRPr="008C5756" w:rsidR="00C523EB" w:rsidP="00C523EB" w:rsidRDefault="006508F0" w14:paraId="3C403C37" w14:textId="77777777">
      <w:pPr>
        <w:pStyle w:val="ListParagraph"/>
        <w:numPr>
          <w:ilvl w:val="0"/>
          <w:numId w:val="2"/>
        </w:numPr>
        <w:jc w:val="both"/>
        <w:rPr>
          <w:rFonts w:ascii="Calibri" w:hAnsi="Calibri"/>
          <w:lang w:val="en-GB"/>
        </w:rPr>
      </w:pPr>
      <w:r>
        <w:rPr>
          <w:rFonts w:ascii="Calibri" w:hAnsi="Calibri" w:eastAsia="Calibri"/>
          <w:lang w:val="cy-GB"/>
        </w:rPr>
        <w:t xml:space="preserve">Yn ymddeol o lety clwm yn Ardal Cyngor Cymuned Sain Tathan. </w:t>
      </w:r>
    </w:p>
    <w:p w:rsidRPr="00120A9E" w:rsidR="004A296B" w:rsidP="004A296B" w:rsidRDefault="004A296B" w14:paraId="0752D9EF" w14:textId="77777777">
      <w:pPr>
        <w:jc w:val="both"/>
        <w:rPr>
          <w:rFonts w:ascii="Calibri" w:hAnsi="Calibri"/>
          <w:i/>
          <w:lang w:val="en-GB"/>
        </w:rPr>
      </w:pPr>
    </w:p>
    <w:p w:rsidR="008C5756" w:rsidP="008C5756" w:rsidRDefault="006508F0" w14:paraId="107F5209" w14:textId="77777777">
      <w:pPr>
        <w:ind w:left="720"/>
        <w:jc w:val="both"/>
        <w:rPr>
          <w:rFonts w:ascii="Calibri" w:hAnsi="Calibri"/>
          <w:lang w:val="en-GB"/>
        </w:rPr>
      </w:pPr>
      <w:r>
        <w:rPr>
          <w:rFonts w:ascii="Calibri" w:hAnsi="Calibri" w:eastAsia="Calibri"/>
          <w:i/>
          <w:iCs/>
          <w:lang w:val="cy-GB"/>
        </w:rPr>
        <w:t xml:space="preserve">Nodyn:  Mae aelodau teulu agos yn cynnwys gŵr neu wraig, mam-gu neu dad-cu, plant, wyrion ac wyresau, brodyr a chwiorydd. </w:t>
      </w:r>
    </w:p>
    <w:p w:rsidRPr="00120A9E" w:rsidR="004A296B" w:rsidP="004A296B" w:rsidRDefault="006508F0" w14:paraId="7F7ADD30" w14:textId="77777777">
      <w:pPr>
        <w:ind w:left="720"/>
        <w:jc w:val="both"/>
        <w:rPr>
          <w:rFonts w:ascii="Calibri" w:hAnsi="Calibri"/>
          <w:i/>
          <w:lang w:val="en-GB"/>
        </w:rPr>
      </w:pPr>
      <w:r>
        <w:rPr>
          <w:rFonts w:ascii="Calibri" w:hAnsi="Calibri" w:eastAsia="Calibri"/>
          <w:i/>
          <w:iCs/>
          <w:lang w:val="cy-GB"/>
        </w:rPr>
        <w:t>Caiff llys-berthnasau a hanner perthnasau eu hystyried yn berthnasau gwaed llawn.</w:t>
      </w:r>
    </w:p>
    <w:p w:rsidRPr="00120A9E" w:rsidR="004A296B" w:rsidP="004A296B" w:rsidRDefault="004A296B" w14:paraId="278463F0" w14:textId="77777777">
      <w:pPr>
        <w:jc w:val="both"/>
        <w:rPr>
          <w:rFonts w:ascii="Calibri" w:hAnsi="Calibri"/>
          <w:lang w:val="en-GB"/>
        </w:rPr>
      </w:pPr>
    </w:p>
    <w:p w:rsidR="003D6EAE" w:rsidP="004A296B" w:rsidRDefault="006508F0" w14:paraId="1CFABE70" w14:textId="77777777">
      <w:pPr>
        <w:ind w:left="720"/>
        <w:jc w:val="both"/>
        <w:rPr>
          <w:rFonts w:ascii="Calibri" w:hAnsi="Calibri"/>
          <w:lang w:val="en-GB"/>
        </w:rPr>
      </w:pPr>
      <w:r>
        <w:rPr>
          <w:rFonts w:ascii="Calibri" w:hAnsi="Calibri" w:eastAsia="Calibri"/>
          <w:lang w:val="cy-GB"/>
        </w:rPr>
        <w:t>Ar ôl ystyried pwynt (1) uchod, caiff eiddo rhent eu dyrannu yn unol â pholisi presennol Homes4U, yn ôl blaenoriaeth band a pha mor hir maent wedi cofrestru gyda Homes4U.</w:t>
      </w:r>
    </w:p>
    <w:p w:rsidRPr="00120A9E" w:rsidR="004A296B" w:rsidP="004A296B" w:rsidRDefault="004A296B" w14:paraId="5A6896C4" w14:textId="77777777">
      <w:pPr>
        <w:ind w:left="720"/>
        <w:jc w:val="both"/>
        <w:rPr>
          <w:rFonts w:ascii="Calibri" w:hAnsi="Calibri"/>
          <w:lang w:val="en-GB"/>
        </w:rPr>
      </w:pPr>
    </w:p>
    <w:p w:rsidR="00233868" w:rsidP="0014467A" w:rsidRDefault="006508F0" w14:paraId="796CD35D" w14:textId="77777777">
      <w:pPr>
        <w:numPr>
          <w:ilvl w:val="0"/>
          <w:numId w:val="1"/>
        </w:numPr>
        <w:jc w:val="both"/>
        <w:rPr>
          <w:rFonts w:ascii="Calibri" w:hAnsi="Calibri"/>
          <w:lang w:val="en-GB"/>
        </w:rPr>
      </w:pPr>
      <w:r>
        <w:rPr>
          <w:rFonts w:ascii="Calibri" w:hAnsi="Calibri" w:eastAsia="Calibri"/>
          <w:lang w:val="cy-GB"/>
        </w:rPr>
        <w:t xml:space="preserve">Wrth ddyrannu'r holl eiddo yn y cynllun, os nad oes digon o ymgeiswyr Homes4U sydd â chysylltiad lleol ag Ardal Cyngor Cymuned Sain Tathan, yna ymgeiswyr o </w:t>
      </w:r>
      <w:r>
        <w:rPr>
          <w:rFonts w:ascii="Calibri" w:hAnsi="Calibri" w:eastAsia="Calibri"/>
          <w:lang w:val="cy-GB"/>
        </w:rPr>
        <w:lastRenderedPageBreak/>
        <w:t xml:space="preserve">ardaloedd Cyngor Cymuned cyfagos Llan-faes, Llanfair a Llancarfan fydd y rhai nesaf â blaenoriaeth. </w:t>
      </w:r>
    </w:p>
    <w:p w:rsidR="004A296B" w:rsidP="00233868" w:rsidRDefault="006508F0" w14:paraId="5EF581C8" w14:textId="77777777">
      <w:pPr>
        <w:ind w:left="720"/>
        <w:jc w:val="both"/>
        <w:rPr>
          <w:rFonts w:ascii="Calibri" w:hAnsi="Calibri"/>
          <w:lang w:val="en-GB"/>
        </w:rPr>
      </w:pPr>
      <w:r>
        <w:rPr>
          <w:rFonts w:ascii="Calibri" w:hAnsi="Calibri" w:eastAsia="Calibri"/>
          <w:lang w:val="cy-GB"/>
        </w:rPr>
        <w:t xml:space="preserve">Ar ôl ystyried pwynt (2), caiff eiddo eu dyrannu yn unol â’r polisi Homes4U cyfredol, h.y. drwy flaenoriaeth band a’r cyfnod amser y mae’r ymgeiswyr wedi bod ar gofrestr Homes4U.  </w:t>
      </w:r>
    </w:p>
    <w:p w:rsidR="007F1740" w:rsidP="007F1740" w:rsidRDefault="007F1740" w14:paraId="0B80BE2F" w14:textId="77777777">
      <w:pPr>
        <w:pStyle w:val="ListParagraph"/>
        <w:jc w:val="both"/>
        <w:rPr>
          <w:rFonts w:ascii="Calibri" w:hAnsi="Calibri"/>
          <w:lang w:val="en-GB"/>
        </w:rPr>
      </w:pPr>
    </w:p>
    <w:p w:rsidRPr="007F1740" w:rsidR="007F1740" w:rsidP="007F1740" w:rsidRDefault="006508F0" w14:paraId="650CD375" w14:textId="77777777">
      <w:pPr>
        <w:pStyle w:val="ListParagraph"/>
        <w:jc w:val="both"/>
        <w:rPr>
          <w:rFonts w:ascii="Calibri" w:hAnsi="Calibri"/>
          <w:lang w:val="en-GB"/>
        </w:rPr>
      </w:pPr>
      <w:r>
        <w:rPr>
          <w:rFonts w:ascii="Calibri" w:hAnsi="Calibri" w:eastAsia="Calibri"/>
          <w:lang w:val="cy-GB"/>
        </w:rPr>
        <w:t xml:space="preserve">2a) Os nad oes digon o ymgeiswyr o Lefel Blaenoriaeth 1 a 2, yna bydd blaenoriaeth i ymgeiswyr â chysylltiad teuluol estynedig ag Ardal Cyngor Cymuned Sain Tathan, gan gynnwys ewythrod, modrybedd, neiaint a nithoedd – gan gynnwys perthnasau llys a hanner.  </w:t>
      </w:r>
    </w:p>
    <w:p w:rsidRPr="007F1740" w:rsidR="007F1740" w:rsidP="007F1740" w:rsidRDefault="007F1740" w14:paraId="38192D29" w14:textId="77777777">
      <w:pPr>
        <w:jc w:val="both"/>
        <w:rPr>
          <w:rFonts w:ascii="Calibri" w:hAnsi="Calibri"/>
          <w:lang w:val="en-GB"/>
        </w:rPr>
      </w:pPr>
    </w:p>
    <w:p w:rsidRPr="00120A9E" w:rsidR="004A296B" w:rsidP="004A296B" w:rsidRDefault="004A296B" w14:paraId="38E648D3" w14:textId="77777777">
      <w:pPr>
        <w:pStyle w:val="ListParagraph"/>
        <w:rPr>
          <w:rFonts w:ascii="Calibri" w:hAnsi="Calibri"/>
          <w:lang w:val="en-GB"/>
        </w:rPr>
      </w:pPr>
    </w:p>
    <w:p w:rsidRPr="006508F0" w:rsidR="004A296B" w:rsidP="004A296B" w:rsidRDefault="006508F0" w14:paraId="758492B4" w14:textId="77777777">
      <w:pPr>
        <w:numPr>
          <w:ilvl w:val="0"/>
          <w:numId w:val="1"/>
        </w:numPr>
        <w:jc w:val="both"/>
        <w:rPr>
          <w:rFonts w:ascii="Calibri" w:hAnsi="Calibri"/>
          <w:lang w:val="cy-GB"/>
        </w:rPr>
      </w:pPr>
      <w:r>
        <w:rPr>
          <w:rFonts w:ascii="Calibri" w:hAnsi="Calibri" w:eastAsia="Calibri"/>
          <w:lang w:val="cy-GB"/>
        </w:rPr>
        <w:t xml:space="preserve">Yn yr achos anhebygol nad oes digon o ymgeiswyr wrth ystyried pwyntiau (1), (2) a (2a) uchod, yna caiff ymgeiswyr o bentrefi gwledig eraill y Fro sy’n cynnwys llai na 1000 o gartrefi eu hystyried.  Os na fydd digon o ymgeiswyr ar ôl ystyried yr ardaloedd hyn, yna mae’n bosib cynnig y gosodiadau i ymgeiswyr Homes4U sy’n byw yng ngweddill Bro Morgannwg. </w:t>
      </w:r>
    </w:p>
    <w:p w:rsidRPr="006508F0" w:rsidR="004A296B" w:rsidP="004A296B" w:rsidRDefault="004A296B" w14:paraId="79FCEB3D" w14:textId="77777777">
      <w:pPr>
        <w:pStyle w:val="ListParagraph"/>
        <w:rPr>
          <w:rFonts w:ascii="Calibri" w:hAnsi="Calibri"/>
          <w:lang w:val="cy-GB"/>
        </w:rPr>
      </w:pPr>
    </w:p>
    <w:p w:rsidRPr="006508F0" w:rsidR="0014467A" w:rsidP="004A296B" w:rsidRDefault="006508F0" w14:paraId="76D97A11" w14:textId="77777777">
      <w:pPr>
        <w:jc w:val="both"/>
        <w:rPr>
          <w:rFonts w:ascii="Calibri" w:hAnsi="Calibri"/>
          <w:lang w:val="cy-GB"/>
        </w:rPr>
      </w:pPr>
      <w:r>
        <w:rPr>
          <w:rFonts w:ascii="Calibri" w:hAnsi="Calibri" w:eastAsia="Calibri"/>
          <w:lang w:val="cy-GB"/>
        </w:rPr>
        <w:t xml:space="preserve">Wrth osod eiddo yn ardal Cyngor Cymuned Sain Tathan byddwn yn paru maint y llety gydag anghenion yr ymgeiswyr, yn unol â’r polisïau dyrannu cyfredol.  </w:t>
      </w:r>
    </w:p>
    <w:p w:rsidRPr="006508F0" w:rsidR="0014467A" w:rsidP="004A296B" w:rsidRDefault="0014467A" w14:paraId="102CE892" w14:textId="77777777">
      <w:pPr>
        <w:jc w:val="both"/>
        <w:rPr>
          <w:rFonts w:ascii="Calibri" w:hAnsi="Calibri"/>
          <w:lang w:val="cy-GB"/>
        </w:rPr>
      </w:pPr>
    </w:p>
    <w:p w:rsidR="004A296B" w:rsidP="004A296B" w:rsidRDefault="006508F0" w14:paraId="25E2EF66" w14:textId="77777777">
      <w:pPr>
        <w:jc w:val="both"/>
        <w:rPr>
          <w:rFonts w:ascii="Calibri" w:hAnsi="Calibri"/>
          <w:lang w:val="en-GB"/>
        </w:rPr>
      </w:pPr>
      <w:r>
        <w:rPr>
          <w:rFonts w:ascii="Calibri" w:hAnsi="Calibri" w:eastAsia="Calibri"/>
          <w:lang w:val="cy-GB"/>
        </w:rPr>
        <w:t xml:space="preserve">Nid oes unrhyw beth yn y ddogfen hon yn atal ceisiadau newydd i Homes4U.  </w:t>
      </w:r>
    </w:p>
    <w:p w:rsidRPr="00120A9E" w:rsidR="0014467A" w:rsidP="004A296B" w:rsidRDefault="0014467A" w14:paraId="0E06E50A" w14:textId="77777777">
      <w:pPr>
        <w:jc w:val="both"/>
        <w:rPr>
          <w:rFonts w:ascii="Calibri" w:hAnsi="Calibri"/>
          <w:lang w:val="en-GB"/>
        </w:rPr>
      </w:pPr>
    </w:p>
    <w:p w:rsidR="004A296B" w:rsidP="004A296B" w:rsidRDefault="006508F0" w14:paraId="398D60F6" w14:textId="77777777">
      <w:pPr>
        <w:jc w:val="both"/>
        <w:rPr>
          <w:rFonts w:ascii="Calibri" w:hAnsi="Calibri"/>
          <w:lang w:val="en-GB"/>
        </w:rPr>
      </w:pPr>
      <w:r>
        <w:rPr>
          <w:rFonts w:ascii="Calibri" w:hAnsi="Calibri" w:eastAsia="Calibri"/>
          <w:lang w:val="cy-GB"/>
        </w:rPr>
        <w:t xml:space="preserve">I’r holl ymgeiswyr sy’n byw yn Hen Iard yr Orsaf, cynhelir ymweliadau cartref gan Swyddogion Tai Cymdeithas Tai Newydd a gofynnir am eirdaon tenantiaeth, gan gynnwys i'r ymgeiswyr hynny sy'n byw mewn llety preifat.  </w:t>
      </w:r>
    </w:p>
    <w:p w:rsidR="00E03F80" w:rsidP="004A296B" w:rsidRDefault="00E03F80" w14:paraId="7FCD9D46" w14:textId="77777777">
      <w:pPr>
        <w:jc w:val="both"/>
        <w:rPr>
          <w:rFonts w:ascii="Calibri" w:hAnsi="Calibri"/>
          <w:lang w:val="en-GB"/>
        </w:rPr>
      </w:pPr>
    </w:p>
    <w:p w:rsidR="00E03F80" w:rsidP="00E03F80" w:rsidRDefault="006508F0" w14:paraId="0E177374" w14:textId="77777777">
      <w:pPr>
        <w:jc w:val="both"/>
        <w:rPr>
          <w:rFonts w:ascii="Calibri" w:hAnsi="Calibri"/>
          <w:lang w:val="en-GB"/>
        </w:rPr>
      </w:pPr>
      <w:r>
        <w:rPr>
          <w:rFonts w:ascii="Calibri" w:hAnsi="Calibri" w:eastAsia="Calibri"/>
          <w:lang w:val="cy-GB"/>
        </w:rPr>
        <w:t>Bydd Cymdeithas Tai Newydd yn sicrhau bod:</w:t>
      </w:r>
    </w:p>
    <w:p w:rsidR="00E03F80" w:rsidP="00E03F80" w:rsidRDefault="00E03F80" w14:paraId="34B4E7B5" w14:textId="77777777">
      <w:pPr>
        <w:ind w:firstLine="720"/>
        <w:jc w:val="both"/>
        <w:rPr>
          <w:rFonts w:ascii="Calibri" w:hAnsi="Calibri"/>
          <w:lang w:val="en-GB"/>
        </w:rPr>
      </w:pPr>
    </w:p>
    <w:p w:rsidRPr="003E339C" w:rsidR="00E03F80" w:rsidP="00E03F80" w:rsidRDefault="006508F0" w14:paraId="1B29D7EF" w14:textId="77777777">
      <w:pPr>
        <w:pStyle w:val="ListParagraph"/>
        <w:ind w:hanging="360"/>
        <w:rPr>
          <w:rFonts w:ascii="Calibri" w:hAnsi="Calibri"/>
          <w:lang w:val="en-GB"/>
        </w:rPr>
      </w:pPr>
      <w:r>
        <w:rPr>
          <w:lang w:val="cy-GB"/>
        </w:rPr>
        <w:t>1</w:t>
      </w:r>
      <w:r>
        <w:rPr>
          <w:rFonts w:ascii="Calibri" w:hAnsi="Calibri" w:eastAsia="Calibri"/>
          <w:lang w:val="cy-GB"/>
        </w:rPr>
        <w:t>.      Bod pob ymgeisydd yn aelod o Homes4U</w:t>
      </w:r>
    </w:p>
    <w:p w:rsidRPr="006508F0" w:rsidR="00E03F80" w:rsidP="00E03F80" w:rsidRDefault="006508F0" w14:paraId="2F4DA2BF" w14:textId="70953427">
      <w:pPr>
        <w:pStyle w:val="ListParagraph"/>
        <w:ind w:hanging="360"/>
        <w:rPr>
          <w:rFonts w:ascii="Calibri" w:hAnsi="Calibri"/>
          <w:lang w:val="cy-GB"/>
        </w:rPr>
      </w:pPr>
      <w:r>
        <w:rPr>
          <w:rFonts w:ascii="Calibri" w:hAnsi="Calibri" w:eastAsia="Calibri"/>
          <w:lang w:val="cy-GB"/>
        </w:rPr>
        <w:t>2.      Bydd yn ofynnol i’r holl denantiaid newydd gwblhau cwrs Dysgu Achrededig Newydd – y Rhaglen Barod am Denantiaeth</w:t>
      </w:r>
    </w:p>
    <w:p w:rsidRPr="006508F0" w:rsidR="00E03F80" w:rsidP="00E03F80" w:rsidRDefault="006508F0" w14:paraId="506958B2" w14:textId="6F16B2E3">
      <w:pPr>
        <w:pStyle w:val="ListParagraph"/>
        <w:ind w:hanging="360"/>
        <w:jc w:val="both"/>
        <w:rPr>
          <w:rFonts w:ascii="Calibri" w:hAnsi="Calibri"/>
          <w:lang w:val="cy-GB"/>
        </w:rPr>
      </w:pPr>
      <w:r>
        <w:rPr>
          <w:rFonts w:ascii="Calibri" w:hAnsi="Calibri" w:eastAsia="Calibri"/>
          <w:lang w:val="cy-GB"/>
        </w:rPr>
        <w:t>3.</w:t>
      </w:r>
      <w:r>
        <w:rPr>
          <w:rFonts w:ascii="Calibri" w:hAnsi="Calibri" w:eastAsia="Calibri"/>
          <w:lang w:val="cy-GB"/>
        </w:rPr>
        <w:tab/>
        <w:t xml:space="preserve">  Bydd blaenoriaeth i’r ymgeiswyr sydd heb gollfarnau na hanes o ymddygiad gwrthgymdeithasol. </w:t>
      </w:r>
    </w:p>
    <w:p w:rsidRPr="006508F0" w:rsidR="00E03F80" w:rsidP="00E03F80" w:rsidRDefault="006508F0" w14:paraId="747C804C" w14:textId="3CA4782A">
      <w:pPr>
        <w:pStyle w:val="ListParagraph"/>
        <w:ind w:hanging="360"/>
        <w:jc w:val="both"/>
        <w:rPr>
          <w:rFonts w:ascii="Calibri" w:hAnsi="Calibri"/>
          <w:lang w:val="cy-GB"/>
        </w:rPr>
      </w:pPr>
      <w:r>
        <w:rPr>
          <w:rFonts w:ascii="Calibri" w:hAnsi="Calibri" w:eastAsia="Calibri"/>
          <w:lang w:val="cy-GB"/>
        </w:rPr>
        <w:t>4.   </w:t>
      </w:r>
      <w:r>
        <w:rPr>
          <w:rFonts w:ascii="Calibri" w:hAnsi="Calibri" w:eastAsia="Calibri"/>
          <w:lang w:val="cy-GB"/>
        </w:rPr>
        <w:tab/>
        <w:t xml:space="preserve">  Bydd yr holl gynigion tenantiaeth yn amodol ar dalu hyd at un wythnos o rent ymlaen llaw.  Os nad yw hyn yn fforddiadwy gallwn ofyn i'r ymgeisydd ymrwymo i gytundeb i dalu £10 i ddechrau ac yna £1 yr wythnos. </w:t>
      </w:r>
    </w:p>
    <w:p w:rsidRPr="006508F0" w:rsidR="004A296B" w:rsidP="004A296B" w:rsidRDefault="004A296B" w14:paraId="6752E96E" w14:textId="77777777">
      <w:pPr>
        <w:jc w:val="both"/>
        <w:rPr>
          <w:rFonts w:ascii="Calibri" w:hAnsi="Calibri"/>
          <w:lang w:val="cy-GB"/>
        </w:rPr>
      </w:pPr>
    </w:p>
    <w:p w:rsidRPr="006508F0" w:rsidR="004A296B" w:rsidP="004A296B" w:rsidRDefault="006508F0" w14:paraId="72D20AAF" w14:textId="77777777">
      <w:pPr>
        <w:jc w:val="both"/>
        <w:rPr>
          <w:rFonts w:ascii="Calibri" w:hAnsi="Calibri"/>
          <w:lang w:val="cy-GB"/>
        </w:rPr>
      </w:pPr>
      <w:r>
        <w:rPr>
          <w:rFonts w:ascii="Calibri" w:hAnsi="Calibri" w:eastAsia="Calibri"/>
          <w:lang w:val="cy-GB"/>
        </w:rPr>
        <w:t xml:space="preserve">Bydd Cymdeithas Tai Newydd a Chyngor Bro Morgannwg yn rhoi adborth ar ganlyniadau’r polisi gosodiadau i Gyngor Cymuned Sain Tathan, yn ôl y gofyn. </w:t>
      </w:r>
    </w:p>
    <w:p w:rsidRPr="006508F0" w:rsidR="004D46EC" w:rsidP="004A296B" w:rsidRDefault="004D46EC" w14:paraId="7EF0C0B9" w14:textId="77777777">
      <w:pPr>
        <w:jc w:val="both"/>
        <w:rPr>
          <w:rFonts w:ascii="Calibri" w:hAnsi="Calibri"/>
          <w:lang w:val="cy-GB"/>
        </w:rPr>
      </w:pPr>
    </w:p>
    <w:p w:rsidRPr="006508F0" w:rsidR="004A296B" w:rsidP="004A296B" w:rsidRDefault="004A296B" w14:paraId="751E81CC" w14:textId="77777777">
      <w:pPr>
        <w:jc w:val="both"/>
        <w:rPr>
          <w:rFonts w:ascii="Calibri" w:hAnsi="Calibri"/>
          <w:lang w:val="cy-GB"/>
        </w:rPr>
      </w:pPr>
    </w:p>
    <w:p w:rsidRPr="006508F0" w:rsidR="00D2208E" w:rsidRDefault="00D2208E" w14:paraId="2E667469" w14:textId="77777777">
      <w:pPr>
        <w:rPr>
          <w:lang w:val="cy-GB"/>
        </w:rPr>
      </w:pPr>
    </w:p>
    <w:sectPr w:rsidRPr="006508F0" w:rsidR="00D2208E">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5BD6E" w14:textId="77777777" w:rsidR="006508F0" w:rsidRDefault="006508F0">
      <w:r>
        <w:separator/>
      </w:r>
    </w:p>
  </w:endnote>
  <w:endnote w:type="continuationSeparator" w:id="0">
    <w:p w14:paraId="1406BC8C" w14:textId="77777777" w:rsidR="006508F0" w:rsidRDefault="0065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D8BB6" w14:textId="77777777" w:rsidR="00543E99" w:rsidRDefault="00543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A6F40" w14:textId="77777777" w:rsidR="00321D4C" w:rsidRDefault="00321D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38C17" w14:textId="77777777" w:rsidR="00543E99" w:rsidRDefault="00543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E3477" w14:textId="77777777" w:rsidR="006508F0" w:rsidRDefault="006508F0">
      <w:r>
        <w:separator/>
      </w:r>
    </w:p>
  </w:footnote>
  <w:footnote w:type="continuationSeparator" w:id="0">
    <w:p w14:paraId="30EEFCFD" w14:textId="77777777" w:rsidR="006508F0" w:rsidRDefault="00650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A7582" w14:textId="77777777" w:rsidR="00543E99" w:rsidRDefault="00543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FA8F9" w14:textId="77777777" w:rsidR="00321D4C" w:rsidRDefault="00321D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7DFA8" w14:textId="77777777" w:rsidR="00543E99" w:rsidRDefault="00543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941E16"/>
    <w:multiLevelType w:val="hybridMultilevel"/>
    <w:tmpl w:val="9AFADA0E"/>
    <w:lvl w:ilvl="0" w:tplc="38C06E16">
      <w:start w:val="1"/>
      <w:numFmt w:val="decimal"/>
      <w:lvlText w:val="%1)"/>
      <w:lvlJc w:val="left"/>
      <w:pPr>
        <w:tabs>
          <w:tab w:val="num" w:pos="720"/>
        </w:tabs>
        <w:ind w:left="720" w:hanging="360"/>
      </w:pPr>
      <w:rPr>
        <w:rFonts w:hint="default"/>
      </w:rPr>
    </w:lvl>
    <w:lvl w:ilvl="1" w:tplc="DF44D52C" w:tentative="1">
      <w:start w:val="1"/>
      <w:numFmt w:val="lowerLetter"/>
      <w:lvlText w:val="%2."/>
      <w:lvlJc w:val="left"/>
      <w:pPr>
        <w:tabs>
          <w:tab w:val="num" w:pos="1440"/>
        </w:tabs>
        <w:ind w:left="1440" w:hanging="360"/>
      </w:pPr>
    </w:lvl>
    <w:lvl w:ilvl="2" w:tplc="94FE4162" w:tentative="1">
      <w:start w:val="1"/>
      <w:numFmt w:val="lowerRoman"/>
      <w:lvlText w:val="%3."/>
      <w:lvlJc w:val="right"/>
      <w:pPr>
        <w:tabs>
          <w:tab w:val="num" w:pos="2160"/>
        </w:tabs>
        <w:ind w:left="2160" w:hanging="180"/>
      </w:pPr>
    </w:lvl>
    <w:lvl w:ilvl="3" w:tplc="BBA8C32C" w:tentative="1">
      <w:start w:val="1"/>
      <w:numFmt w:val="decimal"/>
      <w:lvlText w:val="%4."/>
      <w:lvlJc w:val="left"/>
      <w:pPr>
        <w:tabs>
          <w:tab w:val="num" w:pos="2880"/>
        </w:tabs>
        <w:ind w:left="2880" w:hanging="360"/>
      </w:pPr>
    </w:lvl>
    <w:lvl w:ilvl="4" w:tplc="1D12C6FA" w:tentative="1">
      <w:start w:val="1"/>
      <w:numFmt w:val="lowerLetter"/>
      <w:lvlText w:val="%5."/>
      <w:lvlJc w:val="left"/>
      <w:pPr>
        <w:tabs>
          <w:tab w:val="num" w:pos="3600"/>
        </w:tabs>
        <w:ind w:left="3600" w:hanging="360"/>
      </w:pPr>
    </w:lvl>
    <w:lvl w:ilvl="5" w:tplc="16365892" w:tentative="1">
      <w:start w:val="1"/>
      <w:numFmt w:val="lowerRoman"/>
      <w:lvlText w:val="%6."/>
      <w:lvlJc w:val="right"/>
      <w:pPr>
        <w:tabs>
          <w:tab w:val="num" w:pos="4320"/>
        </w:tabs>
        <w:ind w:left="4320" w:hanging="180"/>
      </w:pPr>
    </w:lvl>
    <w:lvl w:ilvl="6" w:tplc="538A531A" w:tentative="1">
      <w:start w:val="1"/>
      <w:numFmt w:val="decimal"/>
      <w:lvlText w:val="%7."/>
      <w:lvlJc w:val="left"/>
      <w:pPr>
        <w:tabs>
          <w:tab w:val="num" w:pos="5040"/>
        </w:tabs>
        <w:ind w:left="5040" w:hanging="360"/>
      </w:pPr>
    </w:lvl>
    <w:lvl w:ilvl="7" w:tplc="9B50D37C" w:tentative="1">
      <w:start w:val="1"/>
      <w:numFmt w:val="lowerLetter"/>
      <w:lvlText w:val="%8."/>
      <w:lvlJc w:val="left"/>
      <w:pPr>
        <w:tabs>
          <w:tab w:val="num" w:pos="5760"/>
        </w:tabs>
        <w:ind w:left="5760" w:hanging="360"/>
      </w:pPr>
    </w:lvl>
    <w:lvl w:ilvl="8" w:tplc="C0C03566" w:tentative="1">
      <w:start w:val="1"/>
      <w:numFmt w:val="lowerRoman"/>
      <w:lvlText w:val="%9."/>
      <w:lvlJc w:val="right"/>
      <w:pPr>
        <w:tabs>
          <w:tab w:val="num" w:pos="6480"/>
        </w:tabs>
        <w:ind w:left="6480" w:hanging="180"/>
      </w:pPr>
    </w:lvl>
  </w:abstractNum>
  <w:abstractNum w:abstractNumId="1" w15:restartNumberingAfterBreak="0">
    <w:nsid w:val="75807751"/>
    <w:multiLevelType w:val="hybridMultilevel"/>
    <w:tmpl w:val="DEF86750"/>
    <w:lvl w:ilvl="0" w:tplc="86FA8B3A">
      <w:numFmt w:val="bullet"/>
      <w:lvlText w:val=""/>
      <w:lvlJc w:val="left"/>
      <w:pPr>
        <w:ind w:left="1080" w:hanging="360"/>
      </w:pPr>
      <w:rPr>
        <w:rFonts w:ascii="Symbol" w:eastAsia="Times New Roman" w:hAnsi="Symbol" w:cs="Times New Roman" w:hint="default"/>
      </w:rPr>
    </w:lvl>
    <w:lvl w:ilvl="1" w:tplc="D7626930" w:tentative="1">
      <w:start w:val="1"/>
      <w:numFmt w:val="bullet"/>
      <w:lvlText w:val="o"/>
      <w:lvlJc w:val="left"/>
      <w:pPr>
        <w:ind w:left="1800" w:hanging="360"/>
      </w:pPr>
      <w:rPr>
        <w:rFonts w:ascii="Courier New" w:hAnsi="Courier New" w:cs="Courier New" w:hint="default"/>
      </w:rPr>
    </w:lvl>
    <w:lvl w:ilvl="2" w:tplc="E2043E38" w:tentative="1">
      <w:start w:val="1"/>
      <w:numFmt w:val="bullet"/>
      <w:lvlText w:val=""/>
      <w:lvlJc w:val="left"/>
      <w:pPr>
        <w:ind w:left="2520" w:hanging="360"/>
      </w:pPr>
      <w:rPr>
        <w:rFonts w:ascii="Wingdings" w:hAnsi="Wingdings" w:hint="default"/>
      </w:rPr>
    </w:lvl>
    <w:lvl w:ilvl="3" w:tplc="4DFAD42C" w:tentative="1">
      <w:start w:val="1"/>
      <w:numFmt w:val="bullet"/>
      <w:lvlText w:val=""/>
      <w:lvlJc w:val="left"/>
      <w:pPr>
        <w:ind w:left="3240" w:hanging="360"/>
      </w:pPr>
      <w:rPr>
        <w:rFonts w:ascii="Symbol" w:hAnsi="Symbol" w:hint="default"/>
      </w:rPr>
    </w:lvl>
    <w:lvl w:ilvl="4" w:tplc="1CA2B5E2" w:tentative="1">
      <w:start w:val="1"/>
      <w:numFmt w:val="bullet"/>
      <w:lvlText w:val="o"/>
      <w:lvlJc w:val="left"/>
      <w:pPr>
        <w:ind w:left="3960" w:hanging="360"/>
      </w:pPr>
      <w:rPr>
        <w:rFonts w:ascii="Courier New" w:hAnsi="Courier New" w:cs="Courier New" w:hint="default"/>
      </w:rPr>
    </w:lvl>
    <w:lvl w:ilvl="5" w:tplc="2B7A6C0A" w:tentative="1">
      <w:start w:val="1"/>
      <w:numFmt w:val="bullet"/>
      <w:lvlText w:val=""/>
      <w:lvlJc w:val="left"/>
      <w:pPr>
        <w:ind w:left="4680" w:hanging="360"/>
      </w:pPr>
      <w:rPr>
        <w:rFonts w:ascii="Wingdings" w:hAnsi="Wingdings" w:hint="default"/>
      </w:rPr>
    </w:lvl>
    <w:lvl w:ilvl="6" w:tplc="25C089C2" w:tentative="1">
      <w:start w:val="1"/>
      <w:numFmt w:val="bullet"/>
      <w:lvlText w:val=""/>
      <w:lvlJc w:val="left"/>
      <w:pPr>
        <w:ind w:left="5400" w:hanging="360"/>
      </w:pPr>
      <w:rPr>
        <w:rFonts w:ascii="Symbol" w:hAnsi="Symbol" w:hint="default"/>
      </w:rPr>
    </w:lvl>
    <w:lvl w:ilvl="7" w:tplc="5D088016" w:tentative="1">
      <w:start w:val="1"/>
      <w:numFmt w:val="bullet"/>
      <w:lvlText w:val="o"/>
      <w:lvlJc w:val="left"/>
      <w:pPr>
        <w:ind w:left="6120" w:hanging="360"/>
      </w:pPr>
      <w:rPr>
        <w:rFonts w:ascii="Courier New" w:hAnsi="Courier New" w:cs="Courier New" w:hint="default"/>
      </w:rPr>
    </w:lvl>
    <w:lvl w:ilvl="8" w:tplc="4D96CB88" w:tentative="1">
      <w:start w:val="1"/>
      <w:numFmt w:val="bullet"/>
      <w:lvlText w:val=""/>
      <w:lvlJc w:val="left"/>
      <w:pPr>
        <w:ind w:left="6840" w:hanging="360"/>
      </w:pPr>
      <w:rPr>
        <w:rFonts w:ascii="Wingdings" w:hAnsi="Wingdings" w:hint="default"/>
      </w:rPr>
    </w:lvl>
  </w:abstractNum>
  <w:num w:numId="1" w16cid:durableId="693502721">
    <w:abstractNumId w:val="0"/>
  </w:num>
  <w:num w:numId="2" w16cid:durableId="757823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96B"/>
    <w:rsid w:val="0010313F"/>
    <w:rsid w:val="00120A9E"/>
    <w:rsid w:val="0014467A"/>
    <w:rsid w:val="00233868"/>
    <w:rsid w:val="0026233B"/>
    <w:rsid w:val="00321D4C"/>
    <w:rsid w:val="003A4AF6"/>
    <w:rsid w:val="003D6EAE"/>
    <w:rsid w:val="003E339C"/>
    <w:rsid w:val="003F41B2"/>
    <w:rsid w:val="004A296B"/>
    <w:rsid w:val="004D46EC"/>
    <w:rsid w:val="00543E99"/>
    <w:rsid w:val="00583B15"/>
    <w:rsid w:val="005E415E"/>
    <w:rsid w:val="0063135E"/>
    <w:rsid w:val="006508F0"/>
    <w:rsid w:val="006F0D69"/>
    <w:rsid w:val="007F1740"/>
    <w:rsid w:val="008C5756"/>
    <w:rsid w:val="009470F3"/>
    <w:rsid w:val="00A723E8"/>
    <w:rsid w:val="00B21844"/>
    <w:rsid w:val="00C523EB"/>
    <w:rsid w:val="00D2208E"/>
    <w:rsid w:val="00E03F80"/>
    <w:rsid w:val="00E12577"/>
    <w:rsid w:val="00E60978"/>
    <w:rsid w:val="00E971E0"/>
    <w:rsid w:val="00F41870"/>
    <w:rsid w:val="00FB5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81FA"/>
  <w15:docId w15:val="{40AC302A-D6D4-4E80-A3AD-1EECA418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6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semiHidden/>
    <w:rsid w:val="004A296B"/>
    <w:rPr>
      <w:rFonts w:ascii="Verdana" w:hAnsi="Verdana"/>
      <w:b w:val="0"/>
      <w:bCs w:val="0"/>
      <w:i w:val="0"/>
      <w:iCs w:val="0"/>
      <w:strike w:val="0"/>
      <w:color w:val="0000FF"/>
      <w:sz w:val="22"/>
      <w:szCs w:val="22"/>
      <w:u w:val="none"/>
    </w:rPr>
  </w:style>
  <w:style w:type="paragraph" w:styleId="ListParagraph">
    <w:name w:val="List Paragraph"/>
    <w:basedOn w:val="Normal"/>
    <w:uiPriority w:val="34"/>
    <w:qFormat/>
    <w:rsid w:val="004A296B"/>
    <w:pPr>
      <w:ind w:left="720"/>
    </w:pPr>
  </w:style>
  <w:style w:type="paragraph" w:styleId="BalloonText">
    <w:name w:val="Balloon Text"/>
    <w:basedOn w:val="Normal"/>
    <w:link w:val="BalloonTextChar"/>
    <w:uiPriority w:val="99"/>
    <w:semiHidden/>
    <w:unhideWhenUsed/>
    <w:rsid w:val="004A296B"/>
    <w:rPr>
      <w:rFonts w:ascii="Tahoma" w:hAnsi="Tahoma" w:cs="Tahoma"/>
      <w:sz w:val="16"/>
      <w:szCs w:val="16"/>
    </w:rPr>
  </w:style>
  <w:style w:type="character" w:customStyle="1" w:styleId="BalloonTextChar">
    <w:name w:val="Balloon Text Char"/>
    <w:basedOn w:val="DefaultParagraphFont"/>
    <w:link w:val="BalloonText"/>
    <w:uiPriority w:val="99"/>
    <w:semiHidden/>
    <w:rsid w:val="004A296B"/>
    <w:rPr>
      <w:rFonts w:ascii="Tahoma" w:eastAsia="Times New Roman" w:hAnsi="Tahoma" w:cs="Tahoma"/>
      <w:sz w:val="16"/>
      <w:szCs w:val="16"/>
      <w:lang w:val="en-US"/>
    </w:rPr>
  </w:style>
  <w:style w:type="paragraph" w:styleId="Header">
    <w:name w:val="header"/>
    <w:basedOn w:val="Normal"/>
    <w:link w:val="HeaderChar"/>
    <w:uiPriority w:val="99"/>
    <w:unhideWhenUsed/>
    <w:rsid w:val="00321D4C"/>
    <w:pPr>
      <w:tabs>
        <w:tab w:val="center" w:pos="4513"/>
        <w:tab w:val="right" w:pos="9026"/>
      </w:tabs>
    </w:pPr>
  </w:style>
  <w:style w:type="character" w:customStyle="1" w:styleId="HeaderChar">
    <w:name w:val="Header Char"/>
    <w:basedOn w:val="DefaultParagraphFont"/>
    <w:link w:val="Header"/>
    <w:uiPriority w:val="99"/>
    <w:rsid w:val="00321D4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21D4C"/>
    <w:pPr>
      <w:tabs>
        <w:tab w:val="center" w:pos="4513"/>
        <w:tab w:val="right" w:pos="9026"/>
      </w:tabs>
    </w:pPr>
  </w:style>
  <w:style w:type="character" w:customStyle="1" w:styleId="FooterChar">
    <w:name w:val="Footer Char"/>
    <w:basedOn w:val="DefaultParagraphFont"/>
    <w:link w:val="Footer"/>
    <w:uiPriority w:val="99"/>
    <w:rsid w:val="00321D4C"/>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5E415E"/>
    <w:rPr>
      <w:sz w:val="20"/>
      <w:szCs w:val="20"/>
    </w:rPr>
  </w:style>
  <w:style w:type="character" w:customStyle="1" w:styleId="FootnoteTextChar">
    <w:name w:val="Footnote Text Char"/>
    <w:basedOn w:val="DefaultParagraphFont"/>
    <w:link w:val="FootnoteText"/>
    <w:uiPriority w:val="99"/>
    <w:semiHidden/>
    <w:rsid w:val="005E415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5E4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85ACB-A4FD-4F3B-8B71-7C5DDF241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Faulkner, Elisa</dc:creator>
  <cp:lastModifiedBy>jemery</cp:lastModifiedBy>
  <cp:revision>2</cp:revision>
  <dcterms:created xsi:type="dcterms:W3CDTF">2025-03-21T17:18:00Z</dcterms:created>
  <dcterms:modified xsi:type="dcterms:W3CDTF">2025-03-21T17:18:47Z</dcterms:modified>
  <dc:title>Old Station Yard St Athan - Local lettings Policy - 17 September 2015 Cymru</dc:title>
  <cp:keywords>
  </cp:keywords>
  <dc:subject>
  </dc:subject>
</cp:coreProperties>
</file>